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488" w:rsidRDefault="002D7940">
      <w:pPr>
        <w:rPr>
          <w:rFonts w:hint="cs"/>
          <w:rtl/>
        </w:rPr>
      </w:pPr>
      <w:r>
        <w:fldChar w:fldCharType="begin"/>
      </w:r>
      <w:r>
        <w:instrText xml:space="preserve"> HYPERLINK "http://m.news1.co.il/ArticlePage.aspx?docid=118613&amp;subjectid=26&amp;TransID=0&amp;AfterAdd=1" </w:instrText>
      </w:r>
      <w:r>
        <w:fldChar w:fldCharType="separate"/>
      </w:r>
      <w:r>
        <w:rPr>
          <w:rStyle w:val="Hyperlink"/>
        </w:rPr>
        <w:t>http://m.news1.co.il/ArticlePage.aspx?docid=118613&amp;subjectid=26&amp;TransID=0&amp;AfterAdd=1</w:t>
      </w:r>
      <w:r>
        <w:fldChar w:fldCharType="end"/>
      </w:r>
      <w:r>
        <w:rPr>
          <w:rFonts w:hint="cs"/>
          <w:rtl/>
        </w:rPr>
        <w:t xml:space="preserve"> </w:t>
      </w:r>
    </w:p>
    <w:p w:rsidR="0041032A" w:rsidRDefault="002D7940">
      <w:pPr>
        <w:rPr>
          <w:rtl/>
        </w:rPr>
      </w:pPr>
      <w:r>
        <w:rPr>
          <w:rFonts w:hint="cs"/>
          <w:rtl/>
        </w:rPr>
        <w:t xml:space="preserve">קישור </w:t>
      </w:r>
      <w:r>
        <w:rPr>
          <w:rtl/>
        </w:rPr>
        <w:t>–</w:t>
      </w:r>
      <w:r>
        <w:rPr>
          <w:rFonts w:hint="cs"/>
          <w:rtl/>
        </w:rPr>
        <w:t xml:space="preserve"> סיפור חיים של דוד קרון</w:t>
      </w:r>
    </w:p>
    <w:tbl>
      <w:tblPr>
        <w:tblW w:w="5000" w:type="pct"/>
        <w:jc w:val="center"/>
        <w:tblCellSpacing w:w="0" w:type="dxa"/>
        <w:tblCellMar>
          <w:left w:w="0" w:type="dxa"/>
          <w:right w:w="0" w:type="dxa"/>
        </w:tblCellMar>
        <w:tblLook w:val="04A0"/>
      </w:tblPr>
      <w:tblGrid>
        <w:gridCol w:w="8640"/>
      </w:tblGrid>
      <w:tr w:rsidR="0041032A" w:rsidTr="0041032A">
        <w:trPr>
          <w:tblCellSpacing w:w="0" w:type="dxa"/>
          <w:jc w:val="center"/>
        </w:trPr>
        <w:tc>
          <w:tcPr>
            <w:tcW w:w="0" w:type="auto"/>
            <w:hideMark/>
          </w:tcPr>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1022"/>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קורות חיים</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6352"/>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בגיל 16 עלה לארץ-ישראל, השלים לימודיו במקווה ישראל וגויס "להגנה</w:t>
                        </w:r>
                        <w:r>
                          <w:rPr>
                            <w:rStyle w:val="blacktahoma1"/>
                            <w:b/>
                            <w:bCs/>
                            <w:color w:val="3F3F3F"/>
                            <w:sz w:val="18"/>
                            <w:szCs w:val="18"/>
                          </w:rPr>
                          <w:t>"</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דוד קרון נולד בפלך גרודנו (שהיה אז בשליטת האימפריה הרוסית, כיום </w:t>
                  </w:r>
                  <w:proofErr w:type="spellStart"/>
                  <w:r>
                    <w:rPr>
                      <w:rFonts w:ascii="Arial" w:hAnsi="Arial" w:cs="Arial"/>
                      <w:color w:val="000000"/>
                      <w:sz w:val="21"/>
                      <w:szCs w:val="21"/>
                      <w:rtl/>
                    </w:rPr>
                    <w:t>בלארוס</w:t>
                  </w:r>
                  <w:proofErr w:type="spellEnd"/>
                  <w:r>
                    <w:rPr>
                      <w:rFonts w:ascii="Arial" w:hAnsi="Arial" w:cs="Arial"/>
                      <w:color w:val="000000"/>
                      <w:sz w:val="21"/>
                      <w:szCs w:val="21"/>
                      <w:rtl/>
                    </w:rPr>
                    <w:t>) בשנת 1916 וגדל בקהילה יהודית בת 25 אלף נפש שרבים בין צעיריה רצו לעלות לארץ-ישראל. הוא למד בבית ספר "תרבות", שם ספג את השפה העברית ותרבותה ואת רעיון הציונות והצטרף בגיל צעיר לתנועת "השומר הצעיר</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בגיל 16 עלה לארץ-ישראל, השלים לימודיו במקווה ישראל וגויס "להגנה". באמצע שנות השלושים הצטרף לגרעין "השומר הצעיר" ("כרית") שישב במושבה "הדר" והכין עצמו להתיישבות</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0" w:name="PTEXT50155"/>
            <w:bookmarkEnd w:id="0"/>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5000" w:type="pct"/>
                    <w:jc w:val="right"/>
                    <w:tblCellSpacing w:w="0" w:type="dxa"/>
                    <w:tblCellMar>
                      <w:left w:w="0" w:type="dxa"/>
                      <w:right w:w="0" w:type="dxa"/>
                    </w:tblCellMar>
                    <w:tblLook w:val="04A0"/>
                  </w:tblPr>
                  <w:tblGrid>
                    <w:gridCol w:w="8640"/>
                  </w:tblGrid>
                  <w:tr w:rsidR="0041032A" w:rsidTr="0041032A">
                    <w:trPr>
                      <w:tblCellSpacing w:w="0" w:type="dxa"/>
                      <w:jc w:val="right"/>
                    </w:trPr>
                    <w:tc>
                      <w:tcPr>
                        <w:tcW w:w="0" w:type="auto"/>
                        <w:tcMar>
                          <w:top w:w="150" w:type="dxa"/>
                          <w:left w:w="0" w:type="dxa"/>
                          <w:bottom w:w="0" w:type="dxa"/>
                          <w:right w:w="0" w:type="dxa"/>
                        </w:tcMar>
                        <w:vAlign w:val="center"/>
                        <w:hideMark/>
                      </w:tcPr>
                      <w:tbl>
                        <w:tblPr>
                          <w:tblW w:w="2040" w:type="dxa"/>
                          <w:tblCellSpacing w:w="0" w:type="dxa"/>
                          <w:tblCellMar>
                            <w:left w:w="0" w:type="dxa"/>
                            <w:right w:w="0" w:type="dxa"/>
                          </w:tblCellMar>
                          <w:tblLook w:val="04A0"/>
                        </w:tblPr>
                        <w:tblGrid>
                          <w:gridCol w:w="2370"/>
                        </w:tblGrid>
                        <w:tr w:rsidR="0041032A">
                          <w:trPr>
                            <w:tblCellSpacing w:w="0" w:type="dxa"/>
                          </w:trPr>
                          <w:tc>
                            <w:tcPr>
                              <w:tcW w:w="0" w:type="auto"/>
                              <w:vAlign w:val="center"/>
                              <w:hideMark/>
                            </w:tcPr>
                            <w:p w:rsidR="0041032A" w:rsidRDefault="0041032A">
                              <w:pPr>
                                <w:jc w:val="right"/>
                                <w:rPr>
                                  <w:rFonts w:ascii="Arial" w:hAnsi="Arial" w:cs="Arial"/>
                                  <w:sz w:val="24"/>
                                  <w:szCs w:val="24"/>
                                </w:rPr>
                              </w:pPr>
                              <w:r>
                                <w:rPr>
                                  <w:rFonts w:ascii="Arial" w:hAnsi="Arial" w:cs="Arial"/>
                                  <w:noProof/>
                                </w:rPr>
                                <w:drawing>
                                  <wp:inline distT="0" distB="0" distL="0" distR="0">
                                    <wp:extent cx="1476375" cy="1104900"/>
                                    <wp:effectExtent l="19050" t="0" r="9525" b="0"/>
                                    <wp:docPr id="1" name="ContentPlaceHolder1_UcArticle1_rptParagraphes_imgParagraphLeft_1" descr="http://www.news1.co.il/thumbs/155/NEWS1NEW-766273140907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UcArticle1_rptParagraphes_imgParagraphLeft_1" descr="http://www.news1.co.il/thumbs/155/NEWS1NEW-766273140907288.jpg"/>
                                            <pic:cNvPicPr>
                                              <a:picLocks noChangeAspect="1" noChangeArrowheads="1"/>
                                            </pic:cNvPicPr>
                                          </pic:nvPicPr>
                                          <pic:blipFill>
                                            <a:blip r:embed="rId4" cstate="print"/>
                                            <a:srcRect/>
                                            <a:stretch>
                                              <a:fillRect/>
                                            </a:stretch>
                                          </pic:blipFill>
                                          <pic:spPr bwMode="auto">
                                            <a:xfrm>
                                              <a:off x="0" y="0"/>
                                              <a:ext cx="1476375" cy="1104900"/>
                                            </a:xfrm>
                                            <a:prstGeom prst="rect">
                                              <a:avLst/>
                                            </a:prstGeom>
                                            <a:noFill/>
                                            <a:ln w="9525">
                                              <a:noFill/>
                                              <a:miter lim="800000"/>
                                              <a:headEnd/>
                                              <a:tailEnd/>
                                            </a:ln>
                                          </pic:spPr>
                                        </pic:pic>
                                      </a:graphicData>
                                    </a:graphic>
                                  </wp:inline>
                                </w:drawing>
                              </w:r>
                            </w:p>
                          </w:tc>
                        </w:tr>
                        <w:tr w:rsidR="0041032A">
                          <w:trPr>
                            <w:tblCellSpacing w:w="0" w:type="dxa"/>
                          </w:trPr>
                          <w:tc>
                            <w:tcPr>
                              <w:tcW w:w="2040" w:type="dxa"/>
                              <w:vAlign w:val="center"/>
                              <w:hideMark/>
                            </w:tcPr>
                            <w:p w:rsidR="0041032A" w:rsidRDefault="0041032A">
                              <w:pPr>
                                <w:jc w:val="center"/>
                                <w:rPr>
                                  <w:rFonts w:ascii="Arial" w:hAnsi="Arial" w:cs="Arial"/>
                                  <w:sz w:val="24"/>
                                  <w:szCs w:val="24"/>
                                </w:rPr>
                              </w:pPr>
                              <w:r>
                                <w:rPr>
                                  <w:rFonts w:ascii="Arial" w:hAnsi="Arial" w:cs="Arial"/>
                                  <w:color w:val="FFFFFF"/>
                                  <w:sz w:val="17"/>
                                  <w:szCs w:val="17"/>
                                  <w:rtl/>
                                </w:rPr>
                                <w:t xml:space="preserve">לחיים ולמוות </w:t>
                              </w:r>
                            </w:p>
                          </w:tc>
                        </w:tr>
                        <w:tr w:rsidR="0041032A">
                          <w:trPr>
                            <w:trHeight w:val="405"/>
                            <w:tblCellSpacing w:w="0" w:type="dxa"/>
                          </w:trPr>
                          <w:tc>
                            <w:tcPr>
                              <w:tcW w:w="5000" w:type="pct"/>
                              <w:shd w:val="clear" w:color="auto" w:fill="FFFFFF"/>
                              <w:vAlign w:val="center"/>
                              <w:hideMark/>
                            </w:tcPr>
                            <w:p w:rsidR="0041032A" w:rsidRDefault="0041032A">
                              <w:pPr>
                                <w:bidi/>
                                <w:rPr>
                                  <w:rFonts w:ascii="Arial" w:hAnsi="Arial" w:cs="Arial"/>
                                  <w:sz w:val="24"/>
                                  <w:szCs w:val="24"/>
                                </w:rPr>
                              </w:pPr>
                              <w:r>
                                <w:rPr>
                                  <w:rFonts w:ascii="Arial" w:hAnsi="Arial" w:cs="Arial"/>
                                </w:rPr>
                                <w:pict>
                                  <v:rect id="_x0000_i1025" style="width:0;height:2.25pt" o:hralign="center" o:hrstd="t" o:hrnoshade="t" o:hr="t" fillcolor="silver" stroked="f"/>
                                </w:pict>
                              </w:r>
                            </w:p>
                          </w:tc>
                        </w:tr>
                      </w:tbl>
                      <w:p w:rsidR="0041032A" w:rsidRDefault="0041032A">
                        <w:pPr>
                          <w:rPr>
                            <w:rFonts w:ascii="Arial" w:hAnsi="Arial" w:cs="Arial"/>
                            <w:sz w:val="24"/>
                            <w:szCs w:val="24"/>
                          </w:rPr>
                        </w:pPr>
                      </w:p>
                    </w:tc>
                  </w:tr>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 xml:space="preserve">גיוס </w:t>
                        </w:r>
                        <w:proofErr w:type="spellStart"/>
                        <w:r>
                          <w:rPr>
                            <w:rFonts w:ascii="Arial" w:hAnsi="Arial" w:cs="Arial"/>
                            <w:b/>
                            <w:bCs/>
                            <w:color w:val="000080"/>
                            <w:u w:val="single"/>
                            <w:rtl/>
                          </w:rPr>
                          <w:t>לבריגדה</w:t>
                        </w:r>
                        <w:proofErr w:type="spellEnd"/>
                        <w:r>
                          <w:rPr>
                            <w:rFonts w:ascii="Arial" w:hAnsi="Arial" w:cs="Arial"/>
                            <w:b/>
                            <w:bCs/>
                            <w:color w:val="000080"/>
                            <w:u w:val="single"/>
                            <w:rtl/>
                          </w:rPr>
                          <w:t xml:space="preserve"> בספרד</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497"/>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ההערכה היא שבין 500-250 צעירים הגיעו מארץ ישראל ורבים מהם נותרו חללים על אדמת ספרד</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בשנת 1936 הצטרפו אנשי רוח ליבראלים ושמאליים מהעולם כולו וביניהם סופרים ומשוררים לבריגאדה הבינלאומית שלחמה בספרד לצד הרפובליקה כנגד הגנרל פרנקו שהסתייע </w:t>
                  </w:r>
                  <w:proofErr w:type="spellStart"/>
                  <w:r>
                    <w:rPr>
                      <w:rFonts w:ascii="Arial" w:hAnsi="Arial" w:cs="Arial"/>
                      <w:color w:val="000000"/>
                      <w:sz w:val="21"/>
                      <w:szCs w:val="21"/>
                      <w:rtl/>
                    </w:rPr>
                    <w:t>בהיטלר</w:t>
                  </w:r>
                  <w:proofErr w:type="spellEnd"/>
                  <w:r>
                    <w:rPr>
                      <w:rFonts w:ascii="Arial" w:hAnsi="Arial" w:cs="Arial"/>
                      <w:color w:val="000000"/>
                      <w:sz w:val="21"/>
                      <w:szCs w:val="21"/>
                      <w:rtl/>
                    </w:rPr>
                    <w:t xml:space="preserve"> והצבא הגרמני. כ-40 אלף צעירים התגייסו מאירופה ומיבשות אחרות מתוכם כ-8000 יהודים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ההערכה היא שבין 500-250 צעירים הגיעו מארץ ישראל ורבים מהם נותרו חללים על אדמת ספרד. המאבק בספרד נתפס בקרב צעירי החלוצים מהשמאל כמלחמה לחיים ולמוות בין הרודנות והפאשיזם לבין החרות והדמוקרטיה. בספטמבר 1937 החליטו דוד קרון ודוד דגני ( שהיו בגרעין במושבה "הדר") להצטרף לבריגאדה הבינלאומית וזאת בניגוד לעמדת הנהגת הקיבוץ שבדרך, בניגוד למנהיגי "השומר הצעיר" ו"הקיבוץ הארצי" - מאיר יערי ויעקב חזן. נוכח "המאורעות" שפרצו באותה עת בארץ ומול הסיסמה ששלטה בקרב היישוב המאורגן - "חניתה לפני מדריד", נתפסה ההתגייסות לבריגאדה כמהלך של בריחה מאחריות להגן על היישוב המותקף בארץ</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הביקורת על צעדם של השניים ובמיוחד על קרון הייתה קשה במיוחד משום שדווקא מממנו לא ציפו זאת, כמי שמכיר היטב את השפה ואורח החיים הבדואי ונחשב על-ידי חבריו כמי שיכול למצוא הבנה ובסיס לדו-קיום עם </w:t>
                  </w:r>
                  <w:r>
                    <w:rPr>
                      <w:rFonts w:ascii="Arial" w:hAnsi="Arial" w:cs="Arial"/>
                      <w:color w:val="000000"/>
                      <w:sz w:val="21"/>
                      <w:szCs w:val="21"/>
                      <w:rtl/>
                    </w:rPr>
                    <w:lastRenderedPageBreak/>
                    <w:t xml:space="preserve">השכנים גם בימי מתח ביטחוני וסכסוכים לאומיים. בעלון "ההכשרה" נכתב תוך ביקורת כלפי השניים שהם "עזבו" את הקיבוץ אך בשנת 1939, כששבו חיים מהמערכה, התקבלו כגיבורים. קרון שב וקבע כי מטרתו היחידה בספרד הייתה - לעצור את </w:t>
                  </w:r>
                  <w:proofErr w:type="spellStart"/>
                  <w:r>
                    <w:rPr>
                      <w:rFonts w:ascii="Arial" w:hAnsi="Arial" w:cs="Arial"/>
                      <w:color w:val="000000"/>
                      <w:sz w:val="21"/>
                      <w:szCs w:val="21"/>
                      <w:rtl/>
                    </w:rPr>
                    <w:t>היטלר</w:t>
                  </w:r>
                  <w:proofErr w:type="spellEnd"/>
                  <w:r>
                    <w:rPr>
                      <w:rFonts w:ascii="Arial" w:hAnsi="Arial" w:cs="Arial"/>
                      <w:color w:val="000000"/>
                      <w:sz w:val="21"/>
                      <w:szCs w:val="21"/>
                      <w:rtl/>
                    </w:rPr>
                    <w:t>. בשנת 1942, כבעל ניסיון צבאי נרכש וכמי שמצוי באורחות חיי הבדואים גויס דוד קרון לש"י</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1" w:name="PTEXT50156"/>
            <w:bookmarkEnd w:id="1"/>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5000" w:type="pct"/>
                    <w:jc w:val="right"/>
                    <w:tblCellSpacing w:w="0" w:type="dxa"/>
                    <w:tblCellMar>
                      <w:left w:w="0" w:type="dxa"/>
                      <w:right w:w="0" w:type="dxa"/>
                    </w:tblCellMar>
                    <w:tblLook w:val="04A0"/>
                  </w:tblPr>
                  <w:tblGrid>
                    <w:gridCol w:w="8640"/>
                  </w:tblGrid>
                  <w:tr w:rsidR="0041032A" w:rsidTr="0041032A">
                    <w:trPr>
                      <w:tblCellSpacing w:w="0" w:type="dxa"/>
                      <w:jc w:val="right"/>
                    </w:trPr>
                    <w:tc>
                      <w:tcPr>
                        <w:tcW w:w="0" w:type="auto"/>
                        <w:tcMar>
                          <w:top w:w="150" w:type="dxa"/>
                          <w:left w:w="0" w:type="dxa"/>
                          <w:bottom w:w="0" w:type="dxa"/>
                          <w:right w:w="0" w:type="dxa"/>
                        </w:tcMar>
                        <w:vAlign w:val="center"/>
                        <w:hideMark/>
                      </w:tcPr>
                      <w:tbl>
                        <w:tblPr>
                          <w:tblW w:w="2040" w:type="dxa"/>
                          <w:tblCellSpacing w:w="0" w:type="dxa"/>
                          <w:tblCellMar>
                            <w:left w:w="0" w:type="dxa"/>
                            <w:right w:w="0" w:type="dxa"/>
                          </w:tblCellMar>
                          <w:tblLook w:val="04A0"/>
                        </w:tblPr>
                        <w:tblGrid>
                          <w:gridCol w:w="3420"/>
                        </w:tblGrid>
                        <w:tr w:rsidR="0041032A">
                          <w:trPr>
                            <w:tblCellSpacing w:w="0" w:type="dxa"/>
                          </w:trPr>
                          <w:tc>
                            <w:tcPr>
                              <w:tcW w:w="0" w:type="auto"/>
                              <w:vAlign w:val="center"/>
                              <w:hideMark/>
                            </w:tcPr>
                            <w:p w:rsidR="0041032A" w:rsidRDefault="0041032A">
                              <w:pPr>
                                <w:jc w:val="right"/>
                                <w:rPr>
                                  <w:rFonts w:ascii="Arial" w:hAnsi="Arial" w:cs="Arial"/>
                                  <w:sz w:val="24"/>
                                  <w:szCs w:val="24"/>
                                </w:rPr>
                              </w:pPr>
                              <w:r>
                                <w:rPr>
                                  <w:rFonts w:ascii="Arial" w:hAnsi="Arial" w:cs="Arial"/>
                                  <w:noProof/>
                                </w:rPr>
                                <w:drawing>
                                  <wp:inline distT="0" distB="0" distL="0" distR="0">
                                    <wp:extent cx="2143125" cy="1609725"/>
                                    <wp:effectExtent l="19050" t="0" r="9525" b="0"/>
                                    <wp:docPr id="3" name="ContentPlaceHolder1_UcArticle1_rptParagraphes_imgParagraphLeft_2" descr="http://www.news1.co.il/thumbs/155/NEWS1Y-2846948504447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UcArticle1_rptParagraphes_imgParagraphLeft_2" descr="http://www.news1.co.il/thumbs/155/NEWS1Y-284694850444794.jpg"/>
                                            <pic:cNvPicPr>
                                              <a:picLocks noChangeAspect="1" noChangeArrowheads="1"/>
                                            </pic:cNvPicPr>
                                          </pic:nvPicPr>
                                          <pic:blipFill>
                                            <a:blip r:embed="rId5" cstate="print"/>
                                            <a:srcRect/>
                                            <a:stretch>
                                              <a:fillRect/>
                                            </a:stretch>
                                          </pic:blipFill>
                                          <pic:spPr bwMode="auto">
                                            <a:xfrm>
                                              <a:off x="0" y="0"/>
                                              <a:ext cx="2143125" cy="1609725"/>
                                            </a:xfrm>
                                            <a:prstGeom prst="rect">
                                              <a:avLst/>
                                            </a:prstGeom>
                                            <a:noFill/>
                                            <a:ln w="9525">
                                              <a:noFill/>
                                              <a:miter lim="800000"/>
                                              <a:headEnd/>
                                              <a:tailEnd/>
                                            </a:ln>
                                          </pic:spPr>
                                        </pic:pic>
                                      </a:graphicData>
                                    </a:graphic>
                                  </wp:inline>
                                </w:drawing>
                              </w:r>
                            </w:p>
                          </w:tc>
                        </w:tr>
                        <w:tr w:rsidR="0041032A">
                          <w:trPr>
                            <w:tblCellSpacing w:w="0" w:type="dxa"/>
                          </w:trPr>
                          <w:tc>
                            <w:tcPr>
                              <w:tcW w:w="2040" w:type="dxa"/>
                              <w:vAlign w:val="center"/>
                              <w:hideMark/>
                            </w:tcPr>
                            <w:p w:rsidR="0041032A" w:rsidRDefault="0041032A">
                              <w:pPr>
                                <w:jc w:val="center"/>
                                <w:rPr>
                                  <w:rFonts w:ascii="Arial" w:hAnsi="Arial" w:cs="Arial"/>
                                  <w:sz w:val="24"/>
                                  <w:szCs w:val="24"/>
                                </w:rPr>
                              </w:pPr>
                              <w:r>
                                <w:rPr>
                                  <w:rFonts w:ascii="Arial" w:hAnsi="Arial" w:cs="Arial"/>
                                  <w:color w:val="FFFFFF"/>
                                  <w:sz w:val="17"/>
                                  <w:szCs w:val="17"/>
                                  <w:rtl/>
                                </w:rPr>
                                <w:t>עולים על הקרקע [צילום: פלאש 90</w:t>
                              </w:r>
                              <w:r>
                                <w:rPr>
                                  <w:rFonts w:ascii="Arial" w:hAnsi="Arial" w:cs="Arial"/>
                                  <w:color w:val="FFFFFF"/>
                                  <w:sz w:val="17"/>
                                  <w:szCs w:val="17"/>
                                </w:rPr>
                                <w:t xml:space="preserve">] </w:t>
                              </w:r>
                            </w:p>
                          </w:tc>
                        </w:tr>
                        <w:tr w:rsidR="0041032A">
                          <w:trPr>
                            <w:trHeight w:val="405"/>
                            <w:tblCellSpacing w:w="0" w:type="dxa"/>
                          </w:trPr>
                          <w:tc>
                            <w:tcPr>
                              <w:tcW w:w="5000" w:type="pct"/>
                              <w:shd w:val="clear" w:color="auto" w:fill="FFFFFF"/>
                              <w:vAlign w:val="center"/>
                              <w:hideMark/>
                            </w:tcPr>
                            <w:p w:rsidR="0041032A" w:rsidRDefault="0041032A">
                              <w:pPr>
                                <w:bidi/>
                                <w:rPr>
                                  <w:rFonts w:ascii="Arial" w:hAnsi="Arial" w:cs="Arial"/>
                                  <w:sz w:val="24"/>
                                  <w:szCs w:val="24"/>
                                </w:rPr>
                              </w:pPr>
                              <w:r>
                                <w:rPr>
                                  <w:rFonts w:ascii="Arial" w:hAnsi="Arial" w:cs="Arial"/>
                                </w:rPr>
                                <w:pict>
                                  <v:rect id="_x0000_i1026" style="width:0;height:2.25pt" o:hralign="center" o:hrstd="t" o:hrnoshade="t" o:hr="t" fillcolor="silver" stroked="f"/>
                                </w:pict>
                              </w:r>
                            </w:p>
                          </w:tc>
                        </w:tr>
                      </w:tbl>
                      <w:p w:rsidR="0041032A" w:rsidRDefault="0041032A">
                        <w:pPr>
                          <w:rPr>
                            <w:rFonts w:ascii="Arial" w:hAnsi="Arial" w:cs="Arial"/>
                            <w:sz w:val="24"/>
                            <w:szCs w:val="24"/>
                          </w:rPr>
                        </w:pPr>
                      </w:p>
                    </w:tc>
                  </w:tr>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המטרה - התיישבות</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145"/>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מהר מאוד למד קרון את השפה הערבית שעשה בה שימוש (ללא מבטא זר) במגעו עם השכנים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אל המושבה "הדר" הגיע גרעין "אמריקה ב'" וכולם המתינו לעלייה על הקרקע בדרום. הסוכנות כיוונה אותם לשטח כפר מנחם שעבר כמה גלגולים. בשנת 1935 הוקם שם מושב על-ידי "ארגון מנחם" מרחובות שנהרס בפרעות 1936. בקיץ 1937 הוקם במקום ישוב "חומה ומגדל" אך גם הוא לא החזיק מעמד. בדצמבר 1939 הוקם באתר קיבוץ כפר מנחם של תנועת "השומר הצעיר, על-ידי גרעין "אמריקה-כרית</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הם עיבדו 2000 דונם וקרון היה בין ראשוני החורשים. השיח' השכן, אל-עזי, גילה אהדה לצעירים והראה להם את גבולות הקרקע המיועדת להם. כפר מנחם שכן באזור שהיה בהשפעת "כנופיות השלום" שהיוו אופוזיציה למופתי ולכן נהנו משקט יחסי. מהר מאוד למד קרון את השפה הערבית שעשה בה שימוש (ללא מבטא זר) במגעו עם השכנים. השפה ולימוד אורחות חיי הבדואים השכנים היו לכלי חשוב ביותר עבורו ועבור קהילת המודיעין בארץ-ישראל ולאחר מכן במדינה הצעירה</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2" w:name="PTEXT50157"/>
            <w:bookmarkEnd w:id="2"/>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1018"/>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proofErr w:type="spellStart"/>
                        <w:r>
                          <w:rPr>
                            <w:rFonts w:ascii="Arial" w:hAnsi="Arial" w:cs="Arial"/>
                            <w:b/>
                            <w:bCs/>
                            <w:color w:val="000080"/>
                            <w:u w:val="single"/>
                            <w:rtl/>
                          </w:rPr>
                          <w:t>הש"י</w:t>
                        </w:r>
                        <w:proofErr w:type="spellEnd"/>
                        <w:r>
                          <w:rPr>
                            <w:rFonts w:ascii="Arial" w:hAnsi="Arial" w:cs="Arial"/>
                            <w:b/>
                            <w:bCs/>
                            <w:color w:val="000080"/>
                            <w:u w:val="single"/>
                            <w:rtl/>
                          </w:rPr>
                          <w:t xml:space="preserve"> בנגב</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 xml:space="preserve">רשמית נוסד </w:t>
                        </w:r>
                        <w:proofErr w:type="spellStart"/>
                        <w:r>
                          <w:rPr>
                            <w:rStyle w:val="blacktahoma1"/>
                            <w:b/>
                            <w:bCs/>
                            <w:color w:val="3F3F3F"/>
                            <w:sz w:val="18"/>
                            <w:szCs w:val="18"/>
                            <w:rtl/>
                          </w:rPr>
                          <w:t>הש"י</w:t>
                        </w:r>
                        <w:proofErr w:type="spellEnd"/>
                        <w:r>
                          <w:rPr>
                            <w:rStyle w:val="blacktahoma1"/>
                            <w:b/>
                            <w:bCs/>
                            <w:color w:val="3F3F3F"/>
                            <w:sz w:val="18"/>
                            <w:szCs w:val="18"/>
                            <w:rtl/>
                          </w:rPr>
                          <w:t xml:space="preserve"> בשנת 1940 אך מחלקות לאיסוף חומר על האויב והריגול הנגדי (ר"ן) היו פעילות כבר בשנות השלושים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 שירות הידיעות (המודיעין) של "ההגנה" היה למכשיר רב ערך עבור המוסדות הלאומיים במאבקם כנגד הבריטים והערבים. רשמית נוסד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בשנת 1940 אך מחלקות לאיסוף חומר על האויב והריגול הנגדי (ר"ן) היו פעילות כבר בשנות השלושים. בשנת 1940 שובצה המחלקה הערבית בראשות עזרא דנין לש"י, וחבריה </w:t>
                  </w:r>
                  <w:r>
                    <w:rPr>
                      <w:rFonts w:ascii="Arial" w:hAnsi="Arial" w:cs="Arial"/>
                      <w:color w:val="000000"/>
                      <w:sz w:val="21"/>
                      <w:szCs w:val="21"/>
                      <w:rtl/>
                    </w:rPr>
                    <w:lastRenderedPageBreak/>
                    <w:t>בנגב החלו להביא ידיעות על המתרחש בקרב הבריטים והבדואים בצורה שיטתית</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בשנת 1943 השיג קרון אישור מקצין המחוז </w:t>
                  </w:r>
                  <w:proofErr w:type="spellStart"/>
                  <w:r>
                    <w:rPr>
                      <w:rFonts w:ascii="Arial" w:hAnsi="Arial" w:cs="Arial"/>
                      <w:color w:val="000000"/>
                      <w:sz w:val="21"/>
                      <w:szCs w:val="21"/>
                      <w:rtl/>
                    </w:rPr>
                    <w:t>עארף</w:t>
                  </w:r>
                  <w:proofErr w:type="spellEnd"/>
                  <w:r>
                    <w:rPr>
                      <w:rFonts w:ascii="Arial" w:hAnsi="Arial" w:cs="Arial"/>
                      <w:color w:val="000000"/>
                      <w:sz w:val="21"/>
                      <w:szCs w:val="21"/>
                      <w:rtl/>
                    </w:rPr>
                    <w:t xml:space="preserve"> אל-</w:t>
                  </w:r>
                  <w:proofErr w:type="spellStart"/>
                  <w:r>
                    <w:rPr>
                      <w:rFonts w:ascii="Arial" w:hAnsi="Arial" w:cs="Arial"/>
                      <w:color w:val="000000"/>
                      <w:sz w:val="21"/>
                      <w:szCs w:val="21"/>
                      <w:rtl/>
                    </w:rPr>
                    <w:t>עארף</w:t>
                  </w:r>
                  <w:proofErr w:type="spellEnd"/>
                  <w:r>
                    <w:rPr>
                      <w:rFonts w:ascii="Arial" w:hAnsi="Arial" w:cs="Arial"/>
                      <w:color w:val="000000"/>
                      <w:sz w:val="21"/>
                      <w:szCs w:val="21"/>
                      <w:rtl/>
                    </w:rPr>
                    <w:t xml:space="preserve"> להעביר את יבול הקציר מנפת עזה לשוקי מרכז הארץ. בכך סייע לקיבוצי הנגב הצפוני למכור את יבול שדות הפלחה חרף התקנות המנדטוריות שאסרו זאת. הצלחתו בהשגת האישור נבעה בזכות שליטתו בשפה הערבית המדוברת בנגב, מהיכרותו הקרובה של קצין המחוז ופקידיו ומהחלטתו לתת "שוחד" (נוהג לא מקובל בקרב הקיבוצים) לבכירים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כך למשל הוא דאג לקצור בקומביין (שהובא מגבעת ברנר) את שדות החיטה של קצין המחוז וזאת ללא תשלום. בתמורה זכה לגישה ישירה לפקידות הבריטית בעזה ול</w:t>
                  </w:r>
                  <w:hyperlink r:id="rId6" w:history="1">
                    <w:r>
                      <w:rPr>
                        <w:rStyle w:val="Hyperlink"/>
                        <w:rFonts w:ascii="Arial" w:hAnsi="Arial" w:cs="Arial"/>
                        <w:color w:val="000000"/>
                        <w:sz w:val="21"/>
                        <w:szCs w:val="21"/>
                        <w:bdr w:val="none" w:sz="0" w:space="0" w:color="auto" w:frame="1"/>
                        <w:rtl/>
                      </w:rPr>
                      <w:t>כבוד</w:t>
                    </w:r>
                  </w:hyperlink>
                  <w:r>
                    <w:rPr>
                      <w:rFonts w:ascii="Arial" w:hAnsi="Arial" w:cs="Arial"/>
                      <w:color w:val="000000"/>
                      <w:sz w:val="21"/>
                      <w:szCs w:val="21"/>
                    </w:rPr>
                    <w:t xml:space="preserve"> </w:t>
                  </w:r>
                  <w:r>
                    <w:rPr>
                      <w:rFonts w:ascii="Arial" w:hAnsi="Arial" w:cs="Arial"/>
                      <w:color w:val="000000"/>
                      <w:sz w:val="21"/>
                      <w:szCs w:val="21"/>
                      <w:rtl/>
                    </w:rPr>
                    <w:t xml:space="preserve">שרכו לו ראשי השבטים שנדהמו מהפלא </w:t>
                  </w:r>
                  <w:proofErr w:type="spellStart"/>
                  <w:r>
                    <w:rPr>
                      <w:rFonts w:ascii="Arial" w:hAnsi="Arial" w:cs="Arial"/>
                      <w:color w:val="000000"/>
                      <w:sz w:val="21"/>
                      <w:szCs w:val="21"/>
                      <w:rtl/>
                    </w:rPr>
                    <w:t>המכני</w:t>
                  </w:r>
                  <w:proofErr w:type="spellEnd"/>
                  <w:r>
                    <w:rPr>
                      <w:rFonts w:ascii="Arial" w:hAnsi="Arial" w:cs="Arial"/>
                      <w:color w:val="000000"/>
                      <w:sz w:val="21"/>
                      <w:szCs w:val="21"/>
                      <w:rtl/>
                    </w:rPr>
                    <w:t xml:space="preserve"> שראו לראשונה - הקומביין</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3" w:name="PTEXT50158"/>
            <w:bookmarkEnd w:id="3"/>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5000" w:type="pct"/>
                    <w:jc w:val="right"/>
                    <w:tblCellSpacing w:w="0" w:type="dxa"/>
                    <w:tblCellMar>
                      <w:left w:w="0" w:type="dxa"/>
                      <w:right w:w="0" w:type="dxa"/>
                    </w:tblCellMar>
                    <w:tblLook w:val="04A0"/>
                  </w:tblPr>
                  <w:tblGrid>
                    <w:gridCol w:w="8640"/>
                  </w:tblGrid>
                  <w:tr w:rsidR="0041032A" w:rsidTr="0041032A">
                    <w:trPr>
                      <w:tblCellSpacing w:w="0" w:type="dxa"/>
                      <w:jc w:val="right"/>
                    </w:trPr>
                    <w:tc>
                      <w:tcPr>
                        <w:tcW w:w="0" w:type="auto"/>
                        <w:tcMar>
                          <w:top w:w="150" w:type="dxa"/>
                          <w:left w:w="0" w:type="dxa"/>
                          <w:bottom w:w="0" w:type="dxa"/>
                          <w:right w:w="0" w:type="dxa"/>
                        </w:tcMar>
                        <w:vAlign w:val="center"/>
                        <w:hideMark/>
                      </w:tcPr>
                      <w:tbl>
                        <w:tblPr>
                          <w:tblW w:w="2040" w:type="dxa"/>
                          <w:tblCellSpacing w:w="0" w:type="dxa"/>
                          <w:tblCellMar>
                            <w:left w:w="0" w:type="dxa"/>
                            <w:right w:w="0" w:type="dxa"/>
                          </w:tblCellMar>
                          <w:tblLook w:val="04A0"/>
                        </w:tblPr>
                        <w:tblGrid>
                          <w:gridCol w:w="3420"/>
                        </w:tblGrid>
                        <w:tr w:rsidR="0041032A">
                          <w:trPr>
                            <w:tblCellSpacing w:w="0" w:type="dxa"/>
                          </w:trPr>
                          <w:tc>
                            <w:tcPr>
                              <w:tcW w:w="0" w:type="auto"/>
                              <w:vAlign w:val="center"/>
                              <w:hideMark/>
                            </w:tcPr>
                            <w:p w:rsidR="0041032A" w:rsidRDefault="0041032A">
                              <w:pPr>
                                <w:jc w:val="right"/>
                                <w:rPr>
                                  <w:rFonts w:ascii="Arial" w:hAnsi="Arial" w:cs="Arial"/>
                                  <w:sz w:val="24"/>
                                  <w:szCs w:val="24"/>
                                </w:rPr>
                              </w:pPr>
                              <w:r>
                                <w:rPr>
                                  <w:rFonts w:ascii="Arial" w:hAnsi="Arial" w:cs="Arial"/>
                                  <w:noProof/>
                                </w:rPr>
                                <w:drawing>
                                  <wp:inline distT="0" distB="0" distL="0" distR="0">
                                    <wp:extent cx="2143125" cy="1609725"/>
                                    <wp:effectExtent l="19050" t="0" r="9525" b="0"/>
                                    <wp:docPr id="5" name="ContentPlaceHolder1_UcArticle1_rptParagraphes_imgParagraphLeft_4" descr="http://www.news1.co.il/thumbs/155/NEWS1Y-79723536968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UcArticle1_rptParagraphes_imgParagraphLeft_4" descr="http://www.news1.co.il/thumbs/155/NEWS1Y-79723536968232.jpg"/>
                                            <pic:cNvPicPr>
                                              <a:picLocks noChangeAspect="1" noChangeArrowheads="1"/>
                                            </pic:cNvPicPr>
                                          </pic:nvPicPr>
                                          <pic:blipFill>
                                            <a:blip r:embed="rId7" cstate="print"/>
                                            <a:srcRect/>
                                            <a:stretch>
                                              <a:fillRect/>
                                            </a:stretch>
                                          </pic:blipFill>
                                          <pic:spPr bwMode="auto">
                                            <a:xfrm>
                                              <a:off x="0" y="0"/>
                                              <a:ext cx="2143125" cy="1609725"/>
                                            </a:xfrm>
                                            <a:prstGeom prst="rect">
                                              <a:avLst/>
                                            </a:prstGeom>
                                            <a:noFill/>
                                            <a:ln w="9525">
                                              <a:noFill/>
                                              <a:miter lim="800000"/>
                                              <a:headEnd/>
                                              <a:tailEnd/>
                                            </a:ln>
                                          </pic:spPr>
                                        </pic:pic>
                                      </a:graphicData>
                                    </a:graphic>
                                  </wp:inline>
                                </w:drawing>
                              </w:r>
                            </w:p>
                          </w:tc>
                        </w:tr>
                        <w:tr w:rsidR="0041032A">
                          <w:trPr>
                            <w:tblCellSpacing w:w="0" w:type="dxa"/>
                          </w:trPr>
                          <w:tc>
                            <w:tcPr>
                              <w:tcW w:w="2040" w:type="dxa"/>
                              <w:vAlign w:val="center"/>
                              <w:hideMark/>
                            </w:tcPr>
                            <w:p w:rsidR="0041032A" w:rsidRDefault="0041032A">
                              <w:pPr>
                                <w:jc w:val="center"/>
                                <w:rPr>
                                  <w:rFonts w:ascii="Arial" w:hAnsi="Arial" w:cs="Arial"/>
                                  <w:sz w:val="24"/>
                                  <w:szCs w:val="24"/>
                                </w:rPr>
                              </w:pPr>
                              <w:r>
                                <w:rPr>
                                  <w:rFonts w:ascii="Arial" w:hAnsi="Arial" w:cs="Arial"/>
                                  <w:color w:val="FFFFFF"/>
                                  <w:sz w:val="17"/>
                                  <w:szCs w:val="17"/>
                                  <w:rtl/>
                                </w:rPr>
                                <w:t>הבדואים השכנים [צילום: פלאש 90</w:t>
                              </w:r>
                              <w:r>
                                <w:rPr>
                                  <w:rFonts w:ascii="Arial" w:hAnsi="Arial" w:cs="Arial"/>
                                  <w:color w:val="FFFFFF"/>
                                  <w:sz w:val="17"/>
                                  <w:szCs w:val="17"/>
                                </w:rPr>
                                <w:t xml:space="preserve">] </w:t>
                              </w:r>
                            </w:p>
                          </w:tc>
                        </w:tr>
                        <w:tr w:rsidR="0041032A">
                          <w:trPr>
                            <w:trHeight w:val="405"/>
                            <w:tblCellSpacing w:w="0" w:type="dxa"/>
                          </w:trPr>
                          <w:tc>
                            <w:tcPr>
                              <w:tcW w:w="5000" w:type="pct"/>
                              <w:shd w:val="clear" w:color="auto" w:fill="FFFFFF"/>
                              <w:vAlign w:val="center"/>
                              <w:hideMark/>
                            </w:tcPr>
                            <w:p w:rsidR="0041032A" w:rsidRDefault="0041032A">
                              <w:pPr>
                                <w:bidi/>
                                <w:rPr>
                                  <w:rFonts w:ascii="Arial" w:hAnsi="Arial" w:cs="Arial"/>
                                  <w:sz w:val="24"/>
                                  <w:szCs w:val="24"/>
                                </w:rPr>
                              </w:pPr>
                              <w:r>
                                <w:rPr>
                                  <w:rFonts w:ascii="Arial" w:hAnsi="Arial" w:cs="Arial"/>
                                </w:rPr>
                                <w:pict>
                                  <v:rect id="_x0000_i1027" style="width:0;height:2.25pt" o:hralign="center" o:hrstd="t" o:hrnoshade="t" o:hr="t" fillcolor="silver" stroked="f"/>
                                </w:pict>
                              </w:r>
                            </w:p>
                          </w:tc>
                        </w:tr>
                      </w:tbl>
                      <w:p w:rsidR="0041032A" w:rsidRDefault="0041032A">
                        <w:pPr>
                          <w:rPr>
                            <w:rFonts w:ascii="Arial" w:hAnsi="Arial" w:cs="Arial"/>
                            <w:sz w:val="24"/>
                            <w:szCs w:val="24"/>
                          </w:rPr>
                        </w:pPr>
                      </w:p>
                    </w:tc>
                  </w:tr>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קשרים ראשונים</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קרון שילב בשנים אלה השקפה אותה למד בתנועת הנוער שעיקרה "דו-קיום" עם יושבי הארץ הערבים וזאת מבלי לגלות חולשה בפני האלימים שביניהם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כפי שהוזכר, בשלהי שנות השלושים, שימש קרון בתפקיד "שומר שדות" ולמד ערבית ממשפחה מקומית שישבה בסמוך לתל א-צפי. בשל ידיעתו את השפה, הוא נבחר לבצע עם עוד כמה חברים לחרוש את "החריש הפוליטי" הראשון באדמת " קיבוץ דורות" (</w:t>
                  </w:r>
                  <w:proofErr w:type="spellStart"/>
                  <w:r>
                    <w:rPr>
                      <w:rFonts w:ascii="Arial" w:hAnsi="Arial" w:cs="Arial"/>
                      <w:color w:val="000000"/>
                      <w:sz w:val="21"/>
                      <w:szCs w:val="21"/>
                      <w:rtl/>
                    </w:rPr>
                    <w:t>הוג</w:t>
                  </w:r>
                  <w:proofErr w:type="spellEnd"/>
                  <w:r>
                    <w:rPr>
                      <w:rFonts w:ascii="Arial" w:hAnsi="Arial" w:cs="Arial"/>
                      <w:color w:val="000000"/>
                      <w:sz w:val="21"/>
                      <w:szCs w:val="21"/>
                      <w:rtl/>
                    </w:rPr>
                    <w:t>'), קיבוץ רוחמה וקיבוץ ניר עם בשנים 1942 - 1943</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בנגב פשטו שמועות כי קרון היה שותף פעיל בטקס הסולחה שניהל השומר הוותיק אברהם שפירא ושנועדה להרגיע את הרוחות ולמנוע נקמת דם לאחר שחבר כפר מנחם הרג בשגגה רועה בדואי. השמועות הללו חיזקו מעמדו ו</w:t>
                  </w:r>
                  <w:hyperlink r:id="rId8" w:history="1">
                    <w:r>
                      <w:rPr>
                        <w:rStyle w:val="Hyperlink"/>
                        <w:rFonts w:ascii="Arial" w:hAnsi="Arial" w:cs="Arial"/>
                        <w:color w:val="000000"/>
                        <w:sz w:val="21"/>
                        <w:szCs w:val="21"/>
                        <w:bdr w:val="none" w:sz="0" w:space="0" w:color="auto" w:frame="1"/>
                        <w:rtl/>
                      </w:rPr>
                      <w:t>כבוד</w:t>
                    </w:r>
                  </w:hyperlink>
                  <w:r>
                    <w:rPr>
                      <w:rFonts w:ascii="Arial" w:hAnsi="Arial" w:cs="Arial"/>
                      <w:color w:val="000000"/>
                      <w:sz w:val="21"/>
                      <w:szCs w:val="21"/>
                      <w:rtl/>
                    </w:rPr>
                    <w:t>ו באזור. קרון התמחה במשא-ומתן עם הבדואים וניהל לצד יואב צוקרמן משא-ומתן לרכישת קרקעות מהמופתי בעזה (כיום קרקעות קיבוץ ניר-עוז</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בשנת 1943 שימש "כמוכתר" כפר מנחם וייצג את קיבוץ בפני הבריטים ובפני הבדואים ועבודתו זכתה לשבחים רבים. בעת שהדריך את גרעין הפלמ"ח הראשון של "השומר הצעיר", לימד את חניכיו על אודות אורחות חייהם של הבדואים השכנים. קרון הרחיק לכת ואף שיתף את החניכים באבטחת פעולותיה הסודיות של הקק"ל לאיתור חלקות קרקע וכן בהשגת נשק בלתי חוקי. קרון שילב בשנים אלה השקפה אותה למד בתנועת הנוער שעיקרה "דו-קיום" עם יושבי הארץ הערבים וזאת מבלי לגלות חולשה בפני האלימים שביניהם. לא פעם אף הקפיד להעניש את אלה שהיו ראויים לכך</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4" w:name="PTEXT50159"/>
            <w:bookmarkEnd w:id="4"/>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2009"/>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קשרים מביאים תועלת</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קרון החל להעביר ידיעות חשובות ובעלות ערך צבאי למטה "ההגנה" בדבר כלי נשק המצויים בשבטים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בשלהי 1944 יצר דוד קרון קשר עם הפועלים הבדואים שעבדו כשכירי יום בבניה בבסיסי הצבא הבריטי באזור. הוא קנה מהם בחשאיות ובתחכום תת-מקלעים (מדגם שמייסר), שהובאו אז לארץ עם החיילים האוסטרלים וקצת מהכלים הוברחו על-ידי השבטים ממצריים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קיבוץ כפר מנחם הפך "לבסיס" של ההגנה לצורך גניבות נשק ממחסני ואדי </w:t>
                  </w:r>
                  <w:proofErr w:type="spellStart"/>
                  <w:r>
                    <w:rPr>
                      <w:rFonts w:ascii="Arial" w:hAnsi="Arial" w:cs="Arial"/>
                      <w:color w:val="000000"/>
                      <w:sz w:val="21"/>
                      <w:szCs w:val="21"/>
                      <w:rtl/>
                    </w:rPr>
                    <w:t>סארר</w:t>
                  </w:r>
                  <w:proofErr w:type="spellEnd"/>
                  <w:r>
                    <w:rPr>
                      <w:rFonts w:ascii="Arial" w:hAnsi="Arial" w:cs="Arial"/>
                      <w:color w:val="000000"/>
                      <w:sz w:val="21"/>
                      <w:szCs w:val="21"/>
                      <w:rtl/>
                    </w:rPr>
                    <w:t xml:space="preserve">. לא פעם, סיפר קרון, הובאו אליו בדרך לא דרך, מוקשים ופגזים 2 ליטראות בשקים של זבל כימי. המוקשים והפגזים פורקו בשדות הקיבוץ - חומר הנפץ שהוצא מהם (ט.נ.ט. </w:t>
                  </w:r>
                  <w:proofErr w:type="spellStart"/>
                  <w:r>
                    <w:rPr>
                      <w:rFonts w:ascii="Arial" w:hAnsi="Arial" w:cs="Arial"/>
                      <w:color w:val="000000"/>
                      <w:sz w:val="21"/>
                      <w:szCs w:val="21"/>
                      <w:rtl/>
                    </w:rPr>
                    <w:t>וקורדיט</w:t>
                  </w:r>
                  <w:proofErr w:type="spellEnd"/>
                  <w:r>
                    <w:rPr>
                      <w:rFonts w:ascii="Arial" w:hAnsi="Arial" w:cs="Arial"/>
                      <w:color w:val="000000"/>
                      <w:sz w:val="21"/>
                      <w:szCs w:val="21"/>
                      <w:rtl/>
                    </w:rPr>
                    <w:t>) נמסר לתעש לצורך מילוי רימוני יד וכדורי 9 מ"מ עבור הסטנים, שהוחל בייצורם. המוקשים והפגזים המרוקנים נקברו בשדות הקיבוץ</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קרון החל להעביר ידיעות חשובות ובעלות ערך צבאי למטה "ההגנה" בדבר כלי נשק המצויים בשבטים, השפעת "האחים המוסלמים" הקיצוניים על תושבי עזה וסביבתה ועל שבטים בדואים ששיתפו פעולה עם המופתי</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5" w:name="PTEXT50160"/>
            <w:bookmarkEnd w:id="5"/>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5000" w:type="pct"/>
                    <w:jc w:val="right"/>
                    <w:tblCellSpacing w:w="0" w:type="dxa"/>
                    <w:tblCellMar>
                      <w:left w:w="0" w:type="dxa"/>
                      <w:right w:w="0" w:type="dxa"/>
                    </w:tblCellMar>
                    <w:tblLook w:val="04A0"/>
                  </w:tblPr>
                  <w:tblGrid>
                    <w:gridCol w:w="8640"/>
                  </w:tblGrid>
                  <w:tr w:rsidR="0041032A" w:rsidTr="0041032A">
                    <w:trPr>
                      <w:tblCellSpacing w:w="0" w:type="dxa"/>
                      <w:jc w:val="right"/>
                    </w:trPr>
                    <w:tc>
                      <w:tcPr>
                        <w:tcW w:w="0" w:type="auto"/>
                        <w:tcMar>
                          <w:top w:w="150" w:type="dxa"/>
                          <w:left w:w="0" w:type="dxa"/>
                          <w:bottom w:w="0" w:type="dxa"/>
                          <w:right w:w="0" w:type="dxa"/>
                        </w:tcMar>
                        <w:vAlign w:val="center"/>
                        <w:hideMark/>
                      </w:tcPr>
                      <w:tbl>
                        <w:tblPr>
                          <w:tblW w:w="2040" w:type="dxa"/>
                          <w:tblCellSpacing w:w="0" w:type="dxa"/>
                          <w:tblCellMar>
                            <w:left w:w="0" w:type="dxa"/>
                            <w:right w:w="0" w:type="dxa"/>
                          </w:tblCellMar>
                          <w:tblLook w:val="04A0"/>
                        </w:tblPr>
                        <w:tblGrid>
                          <w:gridCol w:w="2370"/>
                        </w:tblGrid>
                        <w:tr w:rsidR="0041032A">
                          <w:trPr>
                            <w:tblCellSpacing w:w="0" w:type="dxa"/>
                          </w:trPr>
                          <w:tc>
                            <w:tcPr>
                              <w:tcW w:w="0" w:type="auto"/>
                              <w:vAlign w:val="center"/>
                              <w:hideMark/>
                            </w:tcPr>
                            <w:p w:rsidR="0041032A" w:rsidRDefault="0041032A">
                              <w:pPr>
                                <w:jc w:val="right"/>
                                <w:rPr>
                                  <w:rFonts w:ascii="Arial" w:hAnsi="Arial" w:cs="Arial"/>
                                  <w:sz w:val="24"/>
                                  <w:szCs w:val="24"/>
                                </w:rPr>
                              </w:pPr>
                              <w:r>
                                <w:rPr>
                                  <w:rFonts w:ascii="Arial" w:hAnsi="Arial" w:cs="Arial"/>
                                  <w:noProof/>
                                </w:rPr>
                                <w:drawing>
                                  <wp:inline distT="0" distB="0" distL="0" distR="0">
                                    <wp:extent cx="1476375" cy="1104900"/>
                                    <wp:effectExtent l="19050" t="0" r="9525" b="0"/>
                                    <wp:docPr id="7" name="ContentPlaceHolder1_UcArticle1_rptParagraphes_imgParagraphLeft_6" descr="http://www.news1.co.il/thumbs/155/NEWS1-13-327617824077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UcArticle1_rptParagraphes_imgParagraphLeft_6" descr="http://www.news1.co.il/thumbs/155/NEWS1-13-327617824077607.jpg"/>
                                            <pic:cNvPicPr>
                                              <a:picLocks noChangeAspect="1" noChangeArrowheads="1"/>
                                            </pic:cNvPicPr>
                                          </pic:nvPicPr>
                                          <pic:blipFill>
                                            <a:blip r:embed="rId9" cstate="print"/>
                                            <a:srcRect/>
                                            <a:stretch>
                                              <a:fillRect/>
                                            </a:stretch>
                                          </pic:blipFill>
                                          <pic:spPr bwMode="auto">
                                            <a:xfrm>
                                              <a:off x="0" y="0"/>
                                              <a:ext cx="1476375" cy="1104900"/>
                                            </a:xfrm>
                                            <a:prstGeom prst="rect">
                                              <a:avLst/>
                                            </a:prstGeom>
                                            <a:noFill/>
                                            <a:ln w="9525">
                                              <a:noFill/>
                                              <a:miter lim="800000"/>
                                              <a:headEnd/>
                                              <a:tailEnd/>
                                            </a:ln>
                                          </pic:spPr>
                                        </pic:pic>
                                      </a:graphicData>
                                    </a:graphic>
                                  </wp:inline>
                                </w:drawing>
                              </w:r>
                            </w:p>
                          </w:tc>
                        </w:tr>
                        <w:tr w:rsidR="0041032A">
                          <w:trPr>
                            <w:tblCellSpacing w:w="0" w:type="dxa"/>
                          </w:trPr>
                          <w:tc>
                            <w:tcPr>
                              <w:tcW w:w="2040" w:type="dxa"/>
                              <w:vAlign w:val="center"/>
                              <w:hideMark/>
                            </w:tcPr>
                            <w:p w:rsidR="0041032A" w:rsidRDefault="0041032A">
                              <w:pPr>
                                <w:jc w:val="center"/>
                                <w:rPr>
                                  <w:rFonts w:ascii="Arial" w:hAnsi="Arial" w:cs="Arial"/>
                                  <w:sz w:val="24"/>
                                  <w:szCs w:val="24"/>
                                </w:rPr>
                              </w:pPr>
                              <w:r>
                                <w:rPr>
                                  <w:rFonts w:ascii="Arial" w:hAnsi="Arial" w:cs="Arial"/>
                                  <w:color w:val="FFFFFF"/>
                                  <w:sz w:val="17"/>
                                  <w:szCs w:val="17"/>
                                  <w:rtl/>
                                </w:rPr>
                                <w:t>התנגדות אלימה [צילום: לע"מ</w:t>
                              </w:r>
                              <w:r>
                                <w:rPr>
                                  <w:rFonts w:ascii="Arial" w:hAnsi="Arial" w:cs="Arial"/>
                                  <w:color w:val="FFFFFF"/>
                                  <w:sz w:val="17"/>
                                  <w:szCs w:val="17"/>
                                </w:rPr>
                                <w:t xml:space="preserve">] </w:t>
                              </w:r>
                            </w:p>
                          </w:tc>
                        </w:tr>
                        <w:tr w:rsidR="0041032A">
                          <w:trPr>
                            <w:trHeight w:val="405"/>
                            <w:tblCellSpacing w:w="0" w:type="dxa"/>
                          </w:trPr>
                          <w:tc>
                            <w:tcPr>
                              <w:tcW w:w="5000" w:type="pct"/>
                              <w:shd w:val="clear" w:color="auto" w:fill="FFFFFF"/>
                              <w:vAlign w:val="center"/>
                              <w:hideMark/>
                            </w:tcPr>
                            <w:p w:rsidR="0041032A" w:rsidRDefault="0041032A">
                              <w:pPr>
                                <w:bidi/>
                                <w:rPr>
                                  <w:rFonts w:ascii="Arial" w:hAnsi="Arial" w:cs="Arial"/>
                                  <w:sz w:val="24"/>
                                  <w:szCs w:val="24"/>
                                </w:rPr>
                              </w:pPr>
                              <w:r>
                                <w:rPr>
                                  <w:rFonts w:ascii="Arial" w:hAnsi="Arial" w:cs="Arial"/>
                                </w:rPr>
                                <w:pict>
                                  <v:rect id="_x0000_i1028" style="width:0;height:2.25pt" o:hralign="center" o:hrstd="t" o:hrnoshade="t" o:hr="t" fillcolor="silver" stroked="f"/>
                                </w:pict>
                              </w:r>
                            </w:p>
                          </w:tc>
                        </w:tr>
                      </w:tbl>
                      <w:p w:rsidR="0041032A" w:rsidRDefault="0041032A">
                        <w:pPr>
                          <w:rPr>
                            <w:rFonts w:ascii="Arial" w:hAnsi="Arial" w:cs="Arial"/>
                            <w:sz w:val="24"/>
                            <w:szCs w:val="24"/>
                          </w:rPr>
                        </w:pPr>
                      </w:p>
                    </w:tc>
                  </w:tr>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פעילות בש"י ערב מלחמת העצמאות</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קרון קשר קשרים אמיצים עם המוכתרים העבריים בנגב ובמיוחד עם שומר השדות יצחק אורון מבארות יצחק</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אט </w:t>
                  </w:r>
                  <w:proofErr w:type="spellStart"/>
                  <w:r>
                    <w:rPr>
                      <w:rFonts w:ascii="Arial" w:hAnsi="Arial" w:cs="Arial"/>
                      <w:color w:val="000000"/>
                      <w:sz w:val="21"/>
                      <w:szCs w:val="21"/>
                      <w:rtl/>
                    </w:rPr>
                    <w:t>אט</w:t>
                  </w:r>
                  <w:proofErr w:type="spellEnd"/>
                  <w:r>
                    <w:rPr>
                      <w:rFonts w:ascii="Arial" w:hAnsi="Arial" w:cs="Arial"/>
                      <w:color w:val="000000"/>
                      <w:sz w:val="21"/>
                      <w:szCs w:val="21"/>
                      <w:rtl/>
                    </w:rPr>
                    <w:t xml:space="preserve"> התבלט דוד קרון ביכולתו להביא ידיעות שנשאבו מהשבטים. לקראת הגשמת תוכנית "קו המים" ביקש 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ממזכירות כפר מנחם לשחרר את חברם לתפקיד שעיקרו הגנה על הקו. בשנת 1947 גויס דוד קרון על-ידי עזרא דנין "למקורות" וזו מינתה אותו לנהל את השמירה על קו המים. הוא הפך לבן בית במשטרות המדבר וארגן שם "מודיעים" משלו שהביאו פרטים על קרקעות שניתן לרכוש בנגב. הקו נבנה קטעים </w:t>
                  </w:r>
                  <w:proofErr w:type="spellStart"/>
                  <w:r>
                    <w:rPr>
                      <w:rFonts w:ascii="Arial" w:hAnsi="Arial" w:cs="Arial"/>
                      <w:color w:val="000000"/>
                      <w:sz w:val="21"/>
                      <w:szCs w:val="21"/>
                      <w:rtl/>
                    </w:rPr>
                    <w:t>קטעים</w:t>
                  </w:r>
                  <w:proofErr w:type="spellEnd"/>
                  <w:r>
                    <w:rPr>
                      <w:rFonts w:ascii="Arial" w:hAnsi="Arial" w:cs="Arial"/>
                      <w:color w:val="000000"/>
                      <w:sz w:val="21"/>
                      <w:szCs w:val="21"/>
                      <w:rtl/>
                    </w:rPr>
                    <w:t xml:space="preserve"> עקב התנגדות אלימה של השבטים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קטעי החיבור הרגישים נעשו </w:t>
                  </w:r>
                  <w:proofErr w:type="spellStart"/>
                  <w:r>
                    <w:rPr>
                      <w:rFonts w:ascii="Arial" w:hAnsi="Arial" w:cs="Arial"/>
                      <w:color w:val="000000"/>
                      <w:sz w:val="21"/>
                      <w:szCs w:val="21"/>
                      <w:rtl/>
                    </w:rPr>
                    <w:t>נעשו</w:t>
                  </w:r>
                  <w:proofErr w:type="spellEnd"/>
                  <w:r>
                    <w:rPr>
                      <w:rFonts w:ascii="Arial" w:hAnsi="Arial" w:cs="Arial"/>
                      <w:color w:val="000000"/>
                      <w:sz w:val="21"/>
                      <w:szCs w:val="21"/>
                      <w:rtl/>
                    </w:rPr>
                    <w:t xml:space="preserve"> עקב כך בפיקודו של מפקד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בנגב קרון שהתקשר קודם לכן עם בדואי "מטרוד" (אסיר בורח), שנרדף על-ידי השלטונות. תמורת סיועו של "</w:t>
                  </w:r>
                  <w:proofErr w:type="spellStart"/>
                  <w:r>
                    <w:rPr>
                      <w:rFonts w:ascii="Arial" w:hAnsi="Arial" w:cs="Arial"/>
                      <w:color w:val="000000"/>
                      <w:sz w:val="21"/>
                      <w:szCs w:val="21"/>
                      <w:rtl/>
                    </w:rPr>
                    <w:t>המטרוד</w:t>
                  </w:r>
                  <w:proofErr w:type="spellEnd"/>
                  <w:r>
                    <w:rPr>
                      <w:rFonts w:ascii="Arial" w:hAnsi="Arial" w:cs="Arial"/>
                      <w:color w:val="000000"/>
                      <w:sz w:val="21"/>
                      <w:szCs w:val="21"/>
                      <w:rtl/>
                    </w:rPr>
                    <w:t xml:space="preserve">" בחיבור הקו, במסירת הודעות על תכנון פגיעות בקו ובמניעת אלימות, זכה הבדואי הבורח להגנה של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קרון מינה מוכתרים, ראשי </w:t>
                  </w:r>
                  <w:r>
                    <w:rPr>
                      <w:rFonts w:ascii="Arial" w:hAnsi="Arial" w:cs="Arial"/>
                      <w:color w:val="000000"/>
                      <w:sz w:val="21"/>
                      <w:szCs w:val="21"/>
                      <w:rtl/>
                    </w:rPr>
                    <w:lastRenderedPageBreak/>
                    <w:t>כפרים ושבטים לאחראים על קטעי הצינור שעובר בתחומם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כתצורה הופקדה בידם הזכות לחלוקת המים מהצינור בקרב השבט ואף קיבלו שכר עבור זאת. כך הצליח קרון לצמצם את כוחו של שבט </w:t>
                  </w:r>
                  <w:proofErr w:type="spellStart"/>
                  <w:r>
                    <w:rPr>
                      <w:rFonts w:ascii="Arial" w:hAnsi="Arial" w:cs="Arial"/>
                      <w:color w:val="000000"/>
                      <w:sz w:val="21"/>
                      <w:szCs w:val="21"/>
                      <w:rtl/>
                    </w:rPr>
                    <w:t>התיהא</w:t>
                  </w:r>
                  <w:proofErr w:type="spellEnd"/>
                  <w:r>
                    <w:rPr>
                      <w:rFonts w:ascii="Arial" w:hAnsi="Arial" w:cs="Arial"/>
                      <w:color w:val="000000"/>
                      <w:sz w:val="21"/>
                      <w:szCs w:val="21"/>
                      <w:rtl/>
                    </w:rPr>
                    <w:t xml:space="preserve"> שהושפע "מהאחים המוסלמים" שהגיעו ממצרים, ולחזק כנגדם את מעמדו של השיח' אל-</w:t>
                  </w:r>
                  <w:proofErr w:type="spellStart"/>
                  <w:r>
                    <w:rPr>
                      <w:rFonts w:ascii="Arial" w:hAnsi="Arial" w:cs="Arial"/>
                      <w:color w:val="000000"/>
                      <w:sz w:val="21"/>
                      <w:szCs w:val="21"/>
                      <w:rtl/>
                    </w:rPr>
                    <w:t>הוזייל</w:t>
                  </w:r>
                  <w:proofErr w:type="spellEnd"/>
                  <w:r>
                    <w:rPr>
                      <w:rFonts w:ascii="Arial" w:hAnsi="Arial" w:cs="Arial"/>
                      <w:color w:val="000000"/>
                      <w:sz w:val="21"/>
                      <w:szCs w:val="21"/>
                      <w:rtl/>
                    </w:rPr>
                    <w:t xml:space="preserve"> (שהתגורר בקרבת שובל), ולהפכו לבן ברית. קרון קשר קשרים אמיצים עם המוכתרים העבריים בנגב ובמיוחד עם שומר השדות </w:t>
                  </w:r>
                  <w:hyperlink r:id="rId10" w:history="1">
                    <w:r>
                      <w:rPr>
                        <w:rStyle w:val="Hyperlink"/>
                        <w:rFonts w:ascii="Arial" w:hAnsi="Arial" w:cs="Arial"/>
                        <w:color w:val="000000"/>
                        <w:sz w:val="21"/>
                        <w:szCs w:val="21"/>
                        <w:bdr w:val="none" w:sz="0" w:space="0" w:color="auto" w:frame="1"/>
                        <w:rtl/>
                      </w:rPr>
                      <w:t>יצחק</w:t>
                    </w:r>
                  </w:hyperlink>
                  <w:r>
                    <w:rPr>
                      <w:rFonts w:ascii="Arial" w:hAnsi="Arial" w:cs="Arial"/>
                      <w:color w:val="000000"/>
                      <w:sz w:val="21"/>
                      <w:szCs w:val="21"/>
                    </w:rPr>
                    <w:t xml:space="preserve"> </w:t>
                  </w:r>
                  <w:r>
                    <w:rPr>
                      <w:rFonts w:ascii="Arial" w:hAnsi="Arial" w:cs="Arial"/>
                      <w:color w:val="000000"/>
                      <w:sz w:val="21"/>
                      <w:szCs w:val="21"/>
                      <w:rtl/>
                    </w:rPr>
                    <w:t>אורון מבארות יצחק, ששנים רבות לאחר מכן, היה נציג דיפלומטי בשגרירות ישראל במצרים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מייסדי "קדמה" שהייתה אחת מ-11 הנקודות שהוקמו במוצאי כיפור 1946, יצאו בליל ההקמה מכפר מנחם והסתייעו בקרון בכל הנוגע להקמת הנקודה ואופי היחסים עם השכנים הבדואים. קרון אימן את "שומרי השדות" ומוכתרי הנגב היהודיים בכל הקשור למנהגים ואורחות חיים של השבטים ואף מימן את הקפה שהיה מוגש באוהל האורחים - </w:t>
                  </w:r>
                  <w:proofErr w:type="spellStart"/>
                  <w:r>
                    <w:rPr>
                      <w:rFonts w:ascii="Arial" w:hAnsi="Arial" w:cs="Arial"/>
                      <w:color w:val="000000"/>
                      <w:sz w:val="21"/>
                      <w:szCs w:val="21"/>
                      <w:rtl/>
                    </w:rPr>
                    <w:t>המאדפה</w:t>
                  </w:r>
                  <w:proofErr w:type="spellEnd"/>
                  <w:r>
                    <w:rPr>
                      <w:rFonts w:ascii="Arial" w:hAnsi="Arial" w:cs="Arial"/>
                      <w:color w:val="000000"/>
                      <w:sz w:val="21"/>
                      <w:szCs w:val="21"/>
                      <w:rtl/>
                    </w:rPr>
                    <w:t>. במאי 1948, שעה שהמתח הביטחוני הגיע לשיאו, הצליח קרון בזכות קשריו, להשיג "שקט" לתקופת קציר החיטים, דבר שאפשר ליישובים הבודדים להכין מלאי גרעינים לקראת המלחמה הקרבה והולכת. בהפוגה השנייה נצטווה קרון לעזוב את תפקידו בנגב והוא גויס לחיל המודיעין של צה"ל</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6" w:name="PTEXT50161"/>
            <w:bookmarkEnd w:id="6"/>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2602"/>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 xml:space="preserve">פרשת </w:t>
                        </w:r>
                        <w:proofErr w:type="spellStart"/>
                        <w:r>
                          <w:rPr>
                            <w:rFonts w:ascii="Arial" w:hAnsi="Arial" w:cs="Arial"/>
                            <w:b/>
                            <w:bCs/>
                            <w:color w:val="000080"/>
                            <w:u w:val="single"/>
                            <w:rtl/>
                          </w:rPr>
                          <w:t>טוביאנסקי</w:t>
                        </w:r>
                        <w:proofErr w:type="spellEnd"/>
                        <w:r>
                          <w:rPr>
                            <w:rFonts w:ascii="Arial" w:hAnsi="Arial" w:cs="Arial"/>
                            <w:b/>
                            <w:bCs/>
                            <w:color w:val="000080"/>
                            <w:u w:val="single"/>
                            <w:rtl/>
                          </w:rPr>
                          <w:t xml:space="preserve"> - יוני 1948 </w:t>
                        </w:r>
                        <w:r>
                          <w:rPr>
                            <w:rFonts w:ascii="Arial" w:hAnsi="Arial" w:cs="Arial"/>
                            <w:b/>
                            <w:bCs/>
                            <w:color w:val="000080"/>
                            <w:u w:val="single"/>
                          </w:rPr>
                          <w:br/>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 xml:space="preserve">הוברר </w:t>
                        </w:r>
                        <w:proofErr w:type="spellStart"/>
                        <w:r>
                          <w:rPr>
                            <w:rStyle w:val="blacktahoma1"/>
                            <w:b/>
                            <w:bCs/>
                            <w:color w:val="3F3F3F"/>
                            <w:sz w:val="18"/>
                            <w:szCs w:val="18"/>
                            <w:rtl/>
                          </w:rPr>
                          <w:t>שטוביאנסקי</w:t>
                        </w:r>
                        <w:proofErr w:type="spellEnd"/>
                        <w:r>
                          <w:rPr>
                            <w:rStyle w:val="blacktahoma1"/>
                            <w:b/>
                            <w:bCs/>
                            <w:color w:val="3F3F3F"/>
                            <w:sz w:val="18"/>
                            <w:szCs w:val="18"/>
                            <w:rtl/>
                          </w:rPr>
                          <w:t xml:space="preserve"> לא היה אשם כלל "וההליך המשפטי" לא עמד בשום אמת מידה חוקית-משפטית</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לא נוכל שלא להזכיר את חלקו של קרון במשפט השדה והוצאתו להורג של </w:t>
                  </w:r>
                  <w:proofErr w:type="spellStart"/>
                  <w:r>
                    <w:rPr>
                      <w:rFonts w:ascii="Arial" w:hAnsi="Arial" w:cs="Arial"/>
                      <w:color w:val="000000"/>
                      <w:sz w:val="21"/>
                      <w:szCs w:val="21"/>
                      <w:rtl/>
                    </w:rPr>
                    <w:t>טוביאנסקי</w:t>
                  </w:r>
                  <w:proofErr w:type="spellEnd"/>
                  <w:r>
                    <w:rPr>
                      <w:rFonts w:ascii="Arial" w:hAnsi="Arial" w:cs="Arial"/>
                      <w:color w:val="000000"/>
                      <w:sz w:val="21"/>
                      <w:szCs w:val="21"/>
                      <w:rtl/>
                    </w:rPr>
                    <w:t xml:space="preserve">. העובדת הן: סרן מאיר </w:t>
                  </w:r>
                  <w:proofErr w:type="spellStart"/>
                  <w:r>
                    <w:rPr>
                      <w:rFonts w:ascii="Arial" w:hAnsi="Arial" w:cs="Arial"/>
                      <w:color w:val="000000"/>
                      <w:sz w:val="21"/>
                      <w:szCs w:val="21"/>
                      <w:rtl/>
                    </w:rPr>
                    <w:t>טוביאנסקי</w:t>
                  </w:r>
                  <w:proofErr w:type="spellEnd"/>
                  <w:r>
                    <w:rPr>
                      <w:rFonts w:ascii="Arial" w:hAnsi="Arial" w:cs="Arial"/>
                      <w:color w:val="000000"/>
                      <w:sz w:val="21"/>
                      <w:szCs w:val="21"/>
                      <w:rtl/>
                    </w:rPr>
                    <w:t xml:space="preserve">, מפקד מחנה </w:t>
                  </w:r>
                  <w:proofErr w:type="spellStart"/>
                  <w:r>
                    <w:rPr>
                      <w:rFonts w:ascii="Arial" w:hAnsi="Arial" w:cs="Arial"/>
                      <w:color w:val="000000"/>
                      <w:sz w:val="21"/>
                      <w:szCs w:val="21"/>
                      <w:rtl/>
                    </w:rPr>
                    <w:t>שנלר</w:t>
                  </w:r>
                  <w:proofErr w:type="spellEnd"/>
                  <w:r>
                    <w:rPr>
                      <w:rFonts w:ascii="Arial" w:hAnsi="Arial" w:cs="Arial"/>
                      <w:color w:val="000000"/>
                      <w:sz w:val="21"/>
                      <w:szCs w:val="21"/>
                      <w:rtl/>
                    </w:rPr>
                    <w:t xml:space="preserve"> ומפקד ש"ת ירושלים שימש גם כפקיד בכיר בחברת החשמל הירושלמית - נחשד בהעברת ידיעות לשלטון הבריטי. על-פי החשד הבריטים העבירו מידע זה ללגיון הבריטי דבר שסייע להם להפגיז מתקנים חיוניים בעיר</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בכיר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בצה"ל הקימו בית דין שדה, אשר שפט את </w:t>
                  </w:r>
                  <w:proofErr w:type="spellStart"/>
                  <w:r>
                    <w:rPr>
                      <w:rFonts w:ascii="Arial" w:hAnsi="Arial" w:cs="Arial"/>
                      <w:color w:val="000000"/>
                      <w:sz w:val="21"/>
                      <w:szCs w:val="21"/>
                      <w:rtl/>
                    </w:rPr>
                    <w:t>טוביאנסקי</w:t>
                  </w:r>
                  <w:proofErr w:type="spellEnd"/>
                  <w:r>
                    <w:rPr>
                      <w:rFonts w:ascii="Arial" w:hAnsi="Arial" w:cs="Arial"/>
                      <w:color w:val="000000"/>
                      <w:sz w:val="21"/>
                      <w:szCs w:val="21"/>
                      <w:rtl/>
                    </w:rPr>
                    <w:t xml:space="preserve"> בבית הספר הנטוש של בית </w:t>
                  </w:r>
                  <w:proofErr w:type="spellStart"/>
                  <w:r>
                    <w:rPr>
                      <w:rFonts w:ascii="Arial" w:hAnsi="Arial" w:cs="Arial"/>
                      <w:color w:val="000000"/>
                      <w:sz w:val="21"/>
                      <w:szCs w:val="21"/>
                      <w:rtl/>
                    </w:rPr>
                    <w:t>ג'יז</w:t>
                  </w:r>
                  <w:proofErr w:type="spellEnd"/>
                  <w:r>
                    <w:rPr>
                      <w:rFonts w:ascii="Arial" w:hAnsi="Arial" w:cs="Arial"/>
                      <w:color w:val="000000"/>
                      <w:sz w:val="21"/>
                      <w:szCs w:val="21"/>
                      <w:rtl/>
                    </w:rPr>
                    <w:t xml:space="preserve"> והרשיעו בגזר דין של מוות. ההוצאה להורג בוצעה מיידית וזאת ללא הגנה של עורך דין, ללא זכות ערעור ובפחות מ-24 שעות. הוצאתו להורג בוצעה במבנה דו קומתי נטוש ("בית העמודים") בכפר בית '</w:t>
                  </w:r>
                  <w:proofErr w:type="spellStart"/>
                  <w:r>
                    <w:rPr>
                      <w:rFonts w:ascii="Arial" w:hAnsi="Arial" w:cs="Arial"/>
                      <w:color w:val="000000"/>
                      <w:sz w:val="21"/>
                      <w:szCs w:val="21"/>
                      <w:rtl/>
                    </w:rPr>
                    <w:t>גיז</w:t>
                  </w:r>
                  <w:proofErr w:type="spellEnd"/>
                  <w:r>
                    <w:rPr>
                      <w:rFonts w:ascii="Arial" w:hAnsi="Arial" w:cs="Arial"/>
                      <w:color w:val="000000"/>
                      <w:sz w:val="21"/>
                      <w:szCs w:val="21"/>
                      <w:rtl/>
                    </w:rPr>
                    <w:t xml:space="preserve"> שנעזב, כיום, מזרחית לקיבוץ </w:t>
                  </w:r>
                  <w:hyperlink r:id="rId11" w:history="1">
                    <w:r>
                      <w:rPr>
                        <w:rStyle w:val="Hyperlink"/>
                        <w:rFonts w:ascii="Arial" w:hAnsi="Arial" w:cs="Arial"/>
                        <w:color w:val="000000"/>
                        <w:sz w:val="21"/>
                        <w:szCs w:val="21"/>
                        <w:bdr w:val="none" w:sz="0" w:space="0" w:color="auto" w:frame="1"/>
                        <w:rtl/>
                      </w:rPr>
                      <w:t>הראל</w:t>
                    </w:r>
                  </w:hyperlink>
                  <w:r>
                    <w:rPr>
                      <w:rFonts w:ascii="Arial" w:hAnsi="Arial" w:cs="Arial"/>
                      <w:color w:val="000000"/>
                      <w:sz w:val="21"/>
                      <w:szCs w:val="21"/>
                    </w:rPr>
                    <w:t xml:space="preserve">. </w:t>
                  </w:r>
                  <w:r>
                    <w:rPr>
                      <w:rFonts w:ascii="Arial" w:hAnsi="Arial" w:cs="Arial"/>
                      <w:color w:val="000000"/>
                      <w:sz w:val="21"/>
                      <w:szCs w:val="21"/>
                      <w:rtl/>
                    </w:rPr>
                    <w:t>חמישה חודשים לאחר מכן כתבה אלמנתו לבן-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והתלוננה על </w:t>
                  </w:r>
                  <w:proofErr w:type="spellStart"/>
                  <w:r>
                    <w:rPr>
                      <w:rFonts w:ascii="Arial" w:hAnsi="Arial" w:cs="Arial"/>
                      <w:color w:val="000000"/>
                      <w:sz w:val="21"/>
                      <w:szCs w:val="21"/>
                      <w:rtl/>
                    </w:rPr>
                    <w:t>הענין</w:t>
                  </w:r>
                  <w:proofErr w:type="spellEnd"/>
                  <w:r>
                    <w:rPr>
                      <w:rFonts w:ascii="Arial" w:hAnsi="Arial" w:cs="Arial"/>
                      <w:color w:val="000000"/>
                      <w:sz w:val="21"/>
                      <w:szCs w:val="21"/>
                      <w:rtl/>
                    </w:rPr>
                    <w:t xml:space="preserve"> ובן-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הורה על פתיחת חקירה</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הוברר </w:t>
                  </w:r>
                  <w:proofErr w:type="spellStart"/>
                  <w:r>
                    <w:rPr>
                      <w:rFonts w:ascii="Arial" w:hAnsi="Arial" w:cs="Arial"/>
                      <w:color w:val="000000"/>
                      <w:sz w:val="21"/>
                      <w:szCs w:val="21"/>
                      <w:rtl/>
                    </w:rPr>
                    <w:t>שטוביאנסקי</w:t>
                  </w:r>
                  <w:proofErr w:type="spellEnd"/>
                  <w:r>
                    <w:rPr>
                      <w:rFonts w:ascii="Arial" w:hAnsi="Arial" w:cs="Arial"/>
                      <w:color w:val="000000"/>
                      <w:sz w:val="21"/>
                      <w:szCs w:val="21"/>
                      <w:rtl/>
                    </w:rPr>
                    <w:t xml:space="preserve"> לא היה אשם כלל "וההליך המשפטי" לא עמד בשום אמת מידה חוקית-משפטית. שלושת השופטים בנימין </w:t>
                  </w:r>
                  <w:proofErr w:type="spellStart"/>
                  <w:r>
                    <w:rPr>
                      <w:rFonts w:ascii="Arial" w:hAnsi="Arial" w:cs="Arial"/>
                      <w:color w:val="000000"/>
                      <w:sz w:val="21"/>
                      <w:szCs w:val="21"/>
                      <w:rtl/>
                    </w:rPr>
                    <w:t>ג'יבלי</w:t>
                  </w:r>
                  <w:proofErr w:type="spellEnd"/>
                  <w:r>
                    <w:rPr>
                      <w:rFonts w:ascii="Arial" w:hAnsi="Arial" w:cs="Arial"/>
                      <w:color w:val="000000"/>
                      <w:sz w:val="21"/>
                      <w:szCs w:val="21"/>
                      <w:rtl/>
                    </w:rPr>
                    <w:t xml:space="preserve">, דוד קרון ואברהם קדרון בהנהגתו של ראש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איסר בארי הסתירו את פרטי האירוע ממפקד ירושלים האלוף שאלתיאל. לשאלה על-פי איזה עקרון פעלו ענה דוד קרון כי הוא סמך על בארי ועל העדויות שהציג בפניהם בנימין </w:t>
                  </w:r>
                  <w:proofErr w:type="spellStart"/>
                  <w:r>
                    <w:rPr>
                      <w:rFonts w:ascii="Arial" w:hAnsi="Arial" w:cs="Arial"/>
                      <w:color w:val="000000"/>
                      <w:sz w:val="21"/>
                      <w:szCs w:val="21"/>
                      <w:rtl/>
                    </w:rPr>
                    <w:t>ג'יבלי</w:t>
                  </w:r>
                  <w:proofErr w:type="spellEnd"/>
                  <w:r>
                    <w:rPr>
                      <w:rFonts w:ascii="Arial" w:hAnsi="Arial" w:cs="Arial"/>
                      <w:color w:val="000000"/>
                      <w:sz w:val="21"/>
                      <w:szCs w:val="21"/>
                      <w:rtl/>
                    </w:rPr>
                    <w:t xml:space="preserve"> ראש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מירושלים וראש הרכב חבר השופטים. כשנה לאחר האירועים פרסם אלתרמן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שיר ב"דבר" בו הוקיע את הפזיזות בשפיטה ואת גדולתו של 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שהודה בטעות וחיזק את רמתו המוסרית של צה"ל:.... "</w:t>
                  </w:r>
                  <w:proofErr w:type="spellStart"/>
                  <w:r>
                    <w:rPr>
                      <w:rFonts w:ascii="Arial" w:hAnsi="Arial" w:cs="Arial"/>
                      <w:color w:val="000000"/>
                      <w:sz w:val="21"/>
                      <w:szCs w:val="21"/>
                      <w:rtl/>
                    </w:rPr>
                    <w:t>תזכר</w:t>
                  </w:r>
                  <w:proofErr w:type="spellEnd"/>
                  <w:r>
                    <w:rPr>
                      <w:rFonts w:ascii="Arial" w:hAnsi="Arial" w:cs="Arial"/>
                      <w:color w:val="000000"/>
                      <w:sz w:val="21"/>
                      <w:szCs w:val="21"/>
                      <w:rtl/>
                    </w:rPr>
                    <w:t xml:space="preserve"> בו מהות המשפט המהיר/ זה שמו הנורא שניתן לו!/ שם סותר את עצמו שם ריקן ומהיר!/ שם שאין משמעות ומובן לו." .... שנים רבות לאחר מכן, כשהתבקש קרון להגיב על הפרשה, טען קרון כי הקרירה של אף אחד משלושת השופטים לא נקטעה בשל הפרשה. אדרבה כולם קודמו לדרגות בכירות ותרמו את חלקם לצה"ל ולמדינה</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7" w:name="PTEXT50162"/>
            <w:bookmarkEnd w:id="7"/>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5000" w:type="pct"/>
                    <w:jc w:val="right"/>
                    <w:tblCellSpacing w:w="0" w:type="dxa"/>
                    <w:tblCellMar>
                      <w:left w:w="0" w:type="dxa"/>
                      <w:right w:w="0" w:type="dxa"/>
                    </w:tblCellMar>
                    <w:tblLook w:val="04A0"/>
                  </w:tblPr>
                  <w:tblGrid>
                    <w:gridCol w:w="8640"/>
                  </w:tblGrid>
                  <w:tr w:rsidR="0041032A" w:rsidTr="0041032A">
                    <w:trPr>
                      <w:tblCellSpacing w:w="0" w:type="dxa"/>
                      <w:jc w:val="right"/>
                    </w:trPr>
                    <w:tc>
                      <w:tcPr>
                        <w:tcW w:w="0" w:type="auto"/>
                        <w:tcMar>
                          <w:top w:w="150" w:type="dxa"/>
                          <w:left w:w="0" w:type="dxa"/>
                          <w:bottom w:w="0" w:type="dxa"/>
                          <w:right w:w="0" w:type="dxa"/>
                        </w:tcMar>
                        <w:vAlign w:val="center"/>
                        <w:hideMark/>
                      </w:tcPr>
                      <w:tbl>
                        <w:tblPr>
                          <w:tblW w:w="2040" w:type="dxa"/>
                          <w:tblCellSpacing w:w="0" w:type="dxa"/>
                          <w:tblCellMar>
                            <w:left w:w="0" w:type="dxa"/>
                            <w:right w:w="0" w:type="dxa"/>
                          </w:tblCellMar>
                          <w:tblLook w:val="04A0"/>
                        </w:tblPr>
                        <w:tblGrid>
                          <w:gridCol w:w="2370"/>
                        </w:tblGrid>
                        <w:tr w:rsidR="0041032A">
                          <w:trPr>
                            <w:tblCellSpacing w:w="0" w:type="dxa"/>
                          </w:trPr>
                          <w:tc>
                            <w:tcPr>
                              <w:tcW w:w="0" w:type="auto"/>
                              <w:vAlign w:val="center"/>
                              <w:hideMark/>
                            </w:tcPr>
                            <w:p w:rsidR="0041032A" w:rsidRDefault="0041032A">
                              <w:pPr>
                                <w:jc w:val="right"/>
                                <w:rPr>
                                  <w:rFonts w:ascii="Arial" w:hAnsi="Arial" w:cs="Arial"/>
                                  <w:sz w:val="24"/>
                                  <w:szCs w:val="24"/>
                                </w:rPr>
                              </w:pPr>
                              <w:r>
                                <w:rPr>
                                  <w:rFonts w:ascii="Arial" w:hAnsi="Arial" w:cs="Arial"/>
                                  <w:noProof/>
                                </w:rPr>
                                <w:lastRenderedPageBreak/>
                                <w:drawing>
                                  <wp:inline distT="0" distB="0" distL="0" distR="0">
                                    <wp:extent cx="1476375" cy="1104900"/>
                                    <wp:effectExtent l="19050" t="0" r="9525" b="0"/>
                                    <wp:docPr id="9" name="ContentPlaceHolder1_UcArticle1_rptParagraphes_imgParagraphLeft_8" descr="http://www.news1.co.il/thumbs/155/NEWS1-13-809490382671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1_UcArticle1_rptParagraphes_imgParagraphLeft_8" descr="http://www.news1.co.il/thumbs/155/NEWS1-13-809490382671357.jpg"/>
                                            <pic:cNvPicPr>
                                              <a:picLocks noChangeAspect="1" noChangeArrowheads="1"/>
                                            </pic:cNvPicPr>
                                          </pic:nvPicPr>
                                          <pic:blipFill>
                                            <a:blip r:embed="rId12" cstate="print"/>
                                            <a:srcRect/>
                                            <a:stretch>
                                              <a:fillRect/>
                                            </a:stretch>
                                          </pic:blipFill>
                                          <pic:spPr bwMode="auto">
                                            <a:xfrm>
                                              <a:off x="0" y="0"/>
                                              <a:ext cx="1476375" cy="1104900"/>
                                            </a:xfrm>
                                            <a:prstGeom prst="rect">
                                              <a:avLst/>
                                            </a:prstGeom>
                                            <a:noFill/>
                                            <a:ln w="9525">
                                              <a:noFill/>
                                              <a:miter lim="800000"/>
                                              <a:headEnd/>
                                              <a:tailEnd/>
                                            </a:ln>
                                          </pic:spPr>
                                        </pic:pic>
                                      </a:graphicData>
                                    </a:graphic>
                                  </wp:inline>
                                </w:drawing>
                              </w:r>
                            </w:p>
                          </w:tc>
                        </w:tr>
                        <w:tr w:rsidR="0041032A">
                          <w:trPr>
                            <w:tblCellSpacing w:w="0" w:type="dxa"/>
                          </w:trPr>
                          <w:tc>
                            <w:tcPr>
                              <w:tcW w:w="2040" w:type="dxa"/>
                              <w:vAlign w:val="center"/>
                              <w:hideMark/>
                            </w:tcPr>
                            <w:p w:rsidR="0041032A" w:rsidRDefault="0041032A">
                              <w:pPr>
                                <w:jc w:val="center"/>
                                <w:rPr>
                                  <w:rFonts w:ascii="Arial" w:hAnsi="Arial" w:cs="Arial"/>
                                  <w:sz w:val="24"/>
                                  <w:szCs w:val="24"/>
                                </w:rPr>
                              </w:pPr>
                              <w:r>
                                <w:rPr>
                                  <w:rFonts w:ascii="Arial" w:hAnsi="Arial" w:cs="Arial"/>
                                  <w:color w:val="FFFFFF"/>
                                  <w:sz w:val="17"/>
                                  <w:szCs w:val="17"/>
                                  <w:rtl/>
                                </w:rPr>
                                <w:t xml:space="preserve">דוד בן </w:t>
                              </w:r>
                              <w:proofErr w:type="spellStart"/>
                              <w:r>
                                <w:rPr>
                                  <w:rFonts w:ascii="Arial" w:hAnsi="Arial" w:cs="Arial"/>
                                  <w:color w:val="FFFFFF"/>
                                  <w:sz w:val="17"/>
                                  <w:szCs w:val="17"/>
                                  <w:rtl/>
                                </w:rPr>
                                <w:t>גוריון</w:t>
                              </w:r>
                              <w:proofErr w:type="spellEnd"/>
                              <w:r>
                                <w:rPr>
                                  <w:rFonts w:ascii="Arial" w:hAnsi="Arial" w:cs="Arial"/>
                                  <w:color w:val="FFFFFF"/>
                                  <w:sz w:val="17"/>
                                  <w:szCs w:val="17"/>
                                  <w:rtl/>
                                </w:rPr>
                                <w:t xml:space="preserve"> [צילום: צ'ארלס </w:t>
                              </w:r>
                              <w:proofErr w:type="spellStart"/>
                              <w:r>
                                <w:rPr>
                                  <w:rFonts w:ascii="Arial" w:hAnsi="Arial" w:cs="Arial"/>
                                  <w:color w:val="FFFFFF"/>
                                  <w:sz w:val="17"/>
                                  <w:szCs w:val="17"/>
                                  <w:rtl/>
                                </w:rPr>
                                <w:t>נובלוק</w:t>
                              </w:r>
                              <w:proofErr w:type="spellEnd"/>
                              <w:r>
                                <w:rPr>
                                  <w:rFonts w:ascii="Arial" w:hAnsi="Arial" w:cs="Arial"/>
                                  <w:color w:val="FFFFFF"/>
                                  <w:sz w:val="17"/>
                                  <w:szCs w:val="17"/>
                                </w:rPr>
                                <w:t xml:space="preserve">/AP] </w:t>
                              </w:r>
                            </w:p>
                          </w:tc>
                        </w:tr>
                        <w:tr w:rsidR="0041032A">
                          <w:trPr>
                            <w:trHeight w:val="405"/>
                            <w:tblCellSpacing w:w="0" w:type="dxa"/>
                          </w:trPr>
                          <w:tc>
                            <w:tcPr>
                              <w:tcW w:w="5000" w:type="pct"/>
                              <w:shd w:val="clear" w:color="auto" w:fill="FFFFFF"/>
                              <w:vAlign w:val="center"/>
                              <w:hideMark/>
                            </w:tcPr>
                            <w:p w:rsidR="0041032A" w:rsidRDefault="0041032A">
                              <w:pPr>
                                <w:bidi/>
                                <w:rPr>
                                  <w:rFonts w:ascii="Arial" w:hAnsi="Arial" w:cs="Arial"/>
                                  <w:sz w:val="24"/>
                                  <w:szCs w:val="24"/>
                                </w:rPr>
                              </w:pPr>
                              <w:r>
                                <w:rPr>
                                  <w:rFonts w:ascii="Arial" w:hAnsi="Arial" w:cs="Arial"/>
                                </w:rPr>
                                <w:pict>
                                  <v:rect id="_x0000_i1029" style="width:0;height:2.25pt" o:hralign="center" o:hrstd="t" o:hrnoshade="t" o:hr="t" fillcolor="silver" stroked="f"/>
                                </w:pict>
                              </w:r>
                            </w:p>
                          </w:tc>
                        </w:tr>
                      </w:tbl>
                      <w:p w:rsidR="0041032A" w:rsidRDefault="0041032A">
                        <w:pPr>
                          <w:rPr>
                            <w:rFonts w:ascii="Arial" w:hAnsi="Arial" w:cs="Arial"/>
                            <w:sz w:val="24"/>
                            <w:szCs w:val="24"/>
                          </w:rPr>
                        </w:pPr>
                      </w:p>
                    </w:tc>
                  </w:tr>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פעילותו במלחמה ולאחריה</w:t>
                        </w:r>
                        <w:r>
                          <w:rPr>
                            <w:rFonts w:ascii="Arial" w:hAnsi="Arial" w:cs="Arial"/>
                            <w:rtl/>
                          </w:rPr>
                          <w:t xml:space="preserve"> </w:t>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בפגישה עם בן-</w:t>
                        </w:r>
                        <w:proofErr w:type="spellStart"/>
                        <w:r>
                          <w:rPr>
                            <w:rStyle w:val="blacktahoma1"/>
                            <w:b/>
                            <w:bCs/>
                            <w:color w:val="3F3F3F"/>
                            <w:sz w:val="18"/>
                            <w:szCs w:val="18"/>
                            <w:rtl/>
                          </w:rPr>
                          <w:t>גוריון</w:t>
                        </w:r>
                        <w:proofErr w:type="spellEnd"/>
                        <w:r>
                          <w:rPr>
                            <w:rStyle w:val="blacktahoma1"/>
                            <w:b/>
                            <w:bCs/>
                            <w:color w:val="3F3F3F"/>
                            <w:sz w:val="18"/>
                            <w:szCs w:val="18"/>
                            <w:rtl/>
                          </w:rPr>
                          <w:t xml:space="preserve"> בפברואר 1948 אמר דוד קרון "ערביי הדרום והנגב להוטים פחות מאחרים למלחמה ומהומות</w:t>
                        </w:r>
                        <w:r>
                          <w:rPr>
                            <w:rStyle w:val="blacktahoma1"/>
                            <w:b/>
                            <w:bCs/>
                            <w:color w:val="3F3F3F"/>
                            <w:sz w:val="18"/>
                            <w:szCs w:val="18"/>
                          </w:rPr>
                          <w:t>"</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דוד קרון מונה לקצין </w:t>
                  </w:r>
                  <w:proofErr w:type="spellStart"/>
                  <w:r>
                    <w:rPr>
                      <w:rFonts w:ascii="Arial" w:hAnsi="Arial" w:cs="Arial"/>
                      <w:color w:val="000000"/>
                      <w:sz w:val="21"/>
                      <w:szCs w:val="21"/>
                      <w:rtl/>
                    </w:rPr>
                    <w:t>הש"י</w:t>
                  </w:r>
                  <w:proofErr w:type="spellEnd"/>
                  <w:r>
                    <w:rPr>
                      <w:rFonts w:ascii="Arial" w:hAnsi="Arial" w:cs="Arial"/>
                      <w:color w:val="000000"/>
                      <w:sz w:val="21"/>
                      <w:szCs w:val="21"/>
                      <w:rtl/>
                    </w:rPr>
                    <w:t xml:space="preserve"> במטה של נחום שריג שהחל לפעול מדצמבר 1947 והוקם בסמוך למבנים של חברת "מקורות" בקיבוץ ניר-עם. במטה החטיבה היו גם קצין המודיעין החטיבתי דוד ניב (ביבי </w:t>
                  </w:r>
                  <w:proofErr w:type="spellStart"/>
                  <w:r>
                    <w:rPr>
                      <w:rFonts w:ascii="Arial" w:hAnsi="Arial" w:cs="Arial"/>
                      <w:color w:val="000000"/>
                      <w:sz w:val="21"/>
                      <w:szCs w:val="21"/>
                      <w:rtl/>
                    </w:rPr>
                    <w:t>רבינוביץ</w:t>
                  </w:r>
                  <w:proofErr w:type="spellEnd"/>
                  <w:r>
                    <w:rPr>
                      <w:rFonts w:ascii="Arial" w:hAnsi="Arial" w:cs="Arial"/>
                      <w:color w:val="000000"/>
                      <w:sz w:val="21"/>
                      <w:szCs w:val="21"/>
                      <w:rtl/>
                    </w:rPr>
                    <w:t>') שהחל בהקמת קורס סיירים ראשון בגבים. הוא אף ארגן סיורים קרקעיים בעומק הנגב וסיורים אוויריים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אבי זכאי נתמנה לקצין הסיור החטיבתי. באותה עת הוחל בהקמת מערך האזנה גם לתקשורת הבריטית וגם למכשירי הקשר שהיו בידי הערבים. העדר מודיעין מסודר, פגע ביכולת של החטיבה אז ליזום ולתכנן פעולות מבצעיות. דוד קרון (יצר בשנת 1949 את תפקיד </w:t>
                  </w:r>
                  <w:proofErr w:type="spellStart"/>
                  <w:r>
                    <w:rPr>
                      <w:rFonts w:ascii="Arial" w:hAnsi="Arial" w:cs="Arial"/>
                      <w:color w:val="000000"/>
                      <w:sz w:val="21"/>
                      <w:szCs w:val="21"/>
                      <w:rtl/>
                    </w:rPr>
                    <w:t>הקת"מ</w:t>
                  </w:r>
                  <w:proofErr w:type="spellEnd"/>
                  <w:r>
                    <w:rPr>
                      <w:rFonts w:ascii="Arial" w:hAnsi="Arial" w:cs="Arial"/>
                      <w:color w:val="000000"/>
                      <w:sz w:val="21"/>
                      <w:szCs w:val="21"/>
                      <w:rtl/>
                    </w:rPr>
                    <w:t>, קצין לתפקידים מיוחדים) היה אחראי לקשר עם "מודיעים" ערביים ועם ראשי השבטים והשיח'ים בנגב</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חשיבות קשר זו הוכחה עת הושגה רשימת השבויים מגוש-עציון שנלקחו לבית </w:t>
                  </w:r>
                  <w:proofErr w:type="spellStart"/>
                  <w:r>
                    <w:rPr>
                      <w:rFonts w:ascii="Arial" w:hAnsi="Arial" w:cs="Arial"/>
                      <w:color w:val="000000"/>
                      <w:sz w:val="21"/>
                      <w:szCs w:val="21"/>
                      <w:rtl/>
                    </w:rPr>
                    <w:t>ג'וברין</w:t>
                  </w:r>
                  <w:proofErr w:type="spellEnd"/>
                  <w:r>
                    <w:rPr>
                      <w:rFonts w:ascii="Arial" w:hAnsi="Arial" w:cs="Arial"/>
                      <w:color w:val="000000"/>
                      <w:sz w:val="21"/>
                      <w:szCs w:val="21"/>
                      <w:rtl/>
                    </w:rPr>
                    <w:t xml:space="preserve"> ושמותיהם נמסרו לקרון על-ידי אל עזי. בפגישה עם 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בפברואר 1948 אמר דוד קרון "ערביי הדרום והנגב להוטים פחות מאחרים למלחמה ומהומות. אין זאת אומרת שיש יחסי שכנות טובים או שאפשרית 'ברית שלום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באותו החודש נפוצו שמועות על פלישה מצרית מתוכננת בנגב. דוד בדק זאת בעזרת המודיע שלו ואישר זאת. עוד השיג ידיעה על עבדאללה </w:t>
                  </w:r>
                  <w:hyperlink r:id="rId13" w:history="1">
                    <w:r>
                      <w:rPr>
                        <w:rStyle w:val="Hyperlink"/>
                        <w:rFonts w:ascii="Arial" w:hAnsi="Arial" w:cs="Arial"/>
                        <w:color w:val="000000"/>
                        <w:sz w:val="21"/>
                        <w:szCs w:val="21"/>
                        <w:bdr w:val="none" w:sz="0" w:space="0" w:color="auto" w:frame="1"/>
                        <w:rtl/>
                      </w:rPr>
                      <w:t>מלך</w:t>
                    </w:r>
                  </w:hyperlink>
                  <w:r>
                    <w:rPr>
                      <w:rFonts w:ascii="Arial" w:hAnsi="Arial" w:cs="Arial"/>
                      <w:color w:val="000000"/>
                      <w:sz w:val="21"/>
                      <w:szCs w:val="21"/>
                    </w:rPr>
                    <w:t xml:space="preserve"> </w:t>
                  </w:r>
                  <w:r>
                    <w:rPr>
                      <w:rFonts w:ascii="Arial" w:hAnsi="Arial" w:cs="Arial"/>
                      <w:color w:val="000000"/>
                      <w:sz w:val="21"/>
                      <w:szCs w:val="21"/>
                      <w:rtl/>
                    </w:rPr>
                    <w:t xml:space="preserve">ירדן מבקש להגיע להסכם נפרד עם הסוכנות. בפני הממונים עליו התלונן שלא נוצר שלטון אזרחי יעיל בנגב אלא עוסקים רק בגירוש, הרג והשמדת רכוש. במהלך 1949 פיקד על יחידת "מודיעין </w:t>
                  </w:r>
                  <w:proofErr w:type="spellStart"/>
                  <w:r>
                    <w:rPr>
                      <w:rFonts w:ascii="Arial" w:hAnsi="Arial" w:cs="Arial"/>
                      <w:color w:val="000000"/>
                      <w:sz w:val="21"/>
                      <w:szCs w:val="21"/>
                      <w:rtl/>
                    </w:rPr>
                    <w:t>10</w:t>
                  </w:r>
                  <w:proofErr w:type="spellEnd"/>
                  <w:r>
                    <w:rPr>
                      <w:rFonts w:ascii="Arial" w:hAnsi="Arial" w:cs="Arial"/>
                      <w:color w:val="000000"/>
                      <w:sz w:val="21"/>
                      <w:szCs w:val="21"/>
                      <w:rtl/>
                    </w:rPr>
                    <w:t>" ופיקד על שבעה בסיסי מודיעין מהצפון עד לנגב. קרון השתחרר בדרגת רב סרן ובדצמבר 1949 חזר לכפר מנחם</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8" w:name="PTEXT50163"/>
            <w:bookmarkEnd w:id="8"/>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3962"/>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 xml:space="preserve">תרומתו לקהילת המודיעין לאחר קום המדינה </w:t>
                        </w:r>
                        <w:r>
                          <w:rPr>
                            <w:rFonts w:ascii="Arial" w:hAnsi="Arial" w:cs="Arial"/>
                            <w:b/>
                            <w:bCs/>
                            <w:color w:val="000080"/>
                            <w:u w:val="single"/>
                          </w:rPr>
                          <w:br/>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5002"/>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בשנת 1966 יצא לטהראן ועמד בראש תחנת "המוסד" שם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בראשית שנות החמישים המשיך לתרום מניסיונו לקיבוצים חדשים שעלו להתיישבות בנגב. כך היה למדריכו הראשון של </w:t>
                  </w:r>
                  <w:proofErr w:type="spellStart"/>
                  <w:r>
                    <w:rPr>
                      <w:rFonts w:ascii="Arial" w:hAnsi="Arial" w:cs="Arial"/>
                      <w:color w:val="000000"/>
                      <w:sz w:val="21"/>
                      <w:szCs w:val="21"/>
                      <w:rtl/>
                    </w:rPr>
                    <w:t>דודיק</w:t>
                  </w:r>
                  <w:proofErr w:type="spellEnd"/>
                  <w:r>
                    <w:rPr>
                      <w:rFonts w:ascii="Arial" w:hAnsi="Arial" w:cs="Arial"/>
                      <w:color w:val="000000"/>
                      <w:sz w:val="21"/>
                      <w:szCs w:val="21"/>
                      <w:rtl/>
                    </w:rPr>
                    <w:t xml:space="preserve"> שושני מקיבוץ להב בכל הקשור ליחסי שכנים עם הבדואים. ב 1956 נשלח לאתיופיה כדי לבדוק אפשרות הקמת בסיס מודיעין שם במסגרת רעיון "הברית הפריפרית" (מבית מדרשו של בן-</w:t>
                  </w:r>
                  <w:proofErr w:type="spellStart"/>
                  <w:r>
                    <w:rPr>
                      <w:rFonts w:ascii="Arial" w:hAnsi="Arial" w:cs="Arial"/>
                      <w:color w:val="000000"/>
                      <w:sz w:val="21"/>
                      <w:szCs w:val="21"/>
                      <w:rtl/>
                    </w:rPr>
                    <w:t>גוריון</w:t>
                  </w:r>
                  <w:proofErr w:type="spellEnd"/>
                  <w:r>
                    <w:rPr>
                      <w:rFonts w:ascii="Arial" w:hAnsi="Arial" w:cs="Arial"/>
                      <w:color w:val="000000"/>
                      <w:sz w:val="21"/>
                      <w:szCs w:val="21"/>
                      <w:rtl/>
                    </w:rPr>
                    <w:t xml:space="preserve">) </w:t>
                  </w:r>
                  <w:r>
                    <w:rPr>
                      <w:rFonts w:ascii="Arial" w:hAnsi="Arial" w:cs="Arial"/>
                      <w:color w:val="000000"/>
                      <w:sz w:val="21"/>
                      <w:szCs w:val="21"/>
                      <w:rtl/>
                    </w:rPr>
                    <w:lastRenderedPageBreak/>
                    <w:t>שכללה את ישראל, טורקיה, אירן ואתיופיה. בתוך כך, שהה גם בפריז ושב ערב מלחמת קדש ארצה. בשנת 1957 נסע שוב לאתיופיה ודיווח על הקורה באזור באמצעות מכשיר קשר מאדיס אבבה. קרון הספיק לבצע גיחה לעדן ואז שב בשנת 1959 לכפר מנחם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 xml:space="preserve">בשנת 1966 יצא לטהרן ועמד בראש תחנת "המוסד" שם. הוא סייע לחיזוק הקשר בין ישראל לכורדים </w:t>
                  </w:r>
                  <w:proofErr w:type="spellStart"/>
                  <w:r>
                    <w:rPr>
                      <w:rFonts w:ascii="Arial" w:hAnsi="Arial" w:cs="Arial"/>
                      <w:color w:val="000000"/>
                      <w:sz w:val="21"/>
                      <w:szCs w:val="21"/>
                      <w:rtl/>
                    </w:rPr>
                    <w:t>וב</w:t>
                  </w:r>
                  <w:proofErr w:type="spellEnd"/>
                  <w:r>
                    <w:rPr>
                      <w:rFonts w:ascii="Arial" w:hAnsi="Arial" w:cs="Arial"/>
                      <w:color w:val="000000"/>
                      <w:sz w:val="21"/>
                      <w:szCs w:val="21"/>
                      <w:rtl/>
                    </w:rPr>
                    <w:t xml:space="preserve">-1968 הגיע מנהיגם, מוסטפה </w:t>
                  </w:r>
                  <w:proofErr w:type="spellStart"/>
                  <w:r>
                    <w:rPr>
                      <w:rFonts w:ascii="Arial" w:hAnsi="Arial" w:cs="Arial"/>
                      <w:color w:val="000000"/>
                      <w:sz w:val="21"/>
                      <w:szCs w:val="21"/>
                      <w:rtl/>
                    </w:rPr>
                    <w:t>בראזני</w:t>
                  </w:r>
                  <w:proofErr w:type="spellEnd"/>
                  <w:r>
                    <w:rPr>
                      <w:rFonts w:ascii="Arial" w:hAnsi="Arial" w:cs="Arial"/>
                      <w:color w:val="000000"/>
                      <w:sz w:val="21"/>
                      <w:szCs w:val="21"/>
                      <w:rtl/>
                    </w:rPr>
                    <w:t xml:space="preserve"> לביקור בארץ. ב-1969 מונה לתפקיד בכיר "במוסד" וחזר שנית לכורדיסטן. בשנת 1976 פרש "מהמוסד" ושב למלא תפקידים חברתיים וכלכליים בקיבוצו. קרון נפטר בשנת 2001 ושמו הונצח במצפור על תל-צפית. הוא אף זכה בפרס על מפעל חיים מאת "עמותת מודיעין </w:t>
                  </w:r>
                  <w:proofErr w:type="spellStart"/>
                  <w:r>
                    <w:rPr>
                      <w:rFonts w:ascii="Arial" w:hAnsi="Arial" w:cs="Arial"/>
                      <w:color w:val="000000"/>
                      <w:sz w:val="21"/>
                      <w:szCs w:val="21"/>
                      <w:rtl/>
                    </w:rPr>
                    <w:t>10</w:t>
                  </w:r>
                  <w:proofErr w:type="spellEnd"/>
                  <w:r>
                    <w:rPr>
                      <w:rFonts w:ascii="Arial" w:hAnsi="Arial" w:cs="Arial"/>
                      <w:color w:val="000000"/>
                      <w:sz w:val="21"/>
                      <w:szCs w:val="21"/>
                      <w:rtl/>
                    </w:rPr>
                    <w:t>" והמרכז למורשת המודיעין</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vanish/>
              </w:rPr>
            </w:pPr>
            <w:bookmarkStart w:id="9" w:name="PTEXT50164"/>
            <w:bookmarkEnd w:id="9"/>
          </w:p>
          <w:tbl>
            <w:tblPr>
              <w:tblW w:w="5000" w:type="pct"/>
              <w:jc w:val="right"/>
              <w:tblCellSpacing w:w="0" w:type="dxa"/>
              <w:tblCellMar>
                <w:left w:w="0" w:type="dxa"/>
                <w:right w:w="0" w:type="dxa"/>
              </w:tblCellMar>
              <w:tblLook w:val="04A0"/>
            </w:tblPr>
            <w:tblGrid>
              <w:gridCol w:w="8640"/>
            </w:tblGrid>
            <w:tr w:rsidR="0041032A">
              <w:trPr>
                <w:trHeight w:val="150"/>
                <w:tblCellSpacing w:w="0" w:type="dxa"/>
                <w:jc w:val="right"/>
              </w:trPr>
              <w:tc>
                <w:tcPr>
                  <w:tcW w:w="0" w:type="auto"/>
                  <w:vAlign w:val="center"/>
                  <w:hideMark/>
                </w:tcPr>
                <w:p w:rsidR="0041032A" w:rsidRDefault="0041032A">
                  <w:pPr>
                    <w:rPr>
                      <w:rFonts w:ascii="Arial" w:hAnsi="Arial" w:cs="Arial"/>
                      <w:sz w:val="16"/>
                      <w:szCs w:val="24"/>
                    </w:rPr>
                  </w:pPr>
                </w:p>
              </w:tc>
            </w:tr>
          </w:tbl>
          <w:p w:rsidR="0041032A" w:rsidRDefault="0041032A">
            <w:pPr>
              <w:jc w:val="right"/>
              <w:rPr>
                <w:rFonts w:ascii="Arial" w:hAnsi="Arial" w:cs="Arial"/>
                <w:vanish/>
              </w:rPr>
            </w:pPr>
          </w:p>
          <w:tbl>
            <w:tblPr>
              <w:tblW w:w="5000" w:type="pct"/>
              <w:jc w:val="right"/>
              <w:tblCellSpacing w:w="0" w:type="dxa"/>
              <w:tblCellMar>
                <w:left w:w="0" w:type="dxa"/>
                <w:right w:w="0" w:type="dxa"/>
              </w:tblCellMar>
              <w:tblLook w:val="04A0"/>
            </w:tblPr>
            <w:tblGrid>
              <w:gridCol w:w="8640"/>
            </w:tblGrid>
            <w:tr w:rsidR="0041032A">
              <w:trPr>
                <w:tblCellSpacing w:w="0" w:type="dxa"/>
                <w:jc w:val="right"/>
              </w:trPr>
              <w:tc>
                <w:tcPr>
                  <w:tcW w:w="0" w:type="auto"/>
                  <w:hideMark/>
                </w:tcPr>
                <w:tbl>
                  <w:tblPr>
                    <w:tblW w:w="0" w:type="auto"/>
                    <w:jc w:val="right"/>
                    <w:tblCellSpacing w:w="0" w:type="dxa"/>
                    <w:tblCellMar>
                      <w:left w:w="0" w:type="dxa"/>
                      <w:right w:w="0" w:type="dxa"/>
                    </w:tblCellMar>
                    <w:tblLook w:val="04A0"/>
                  </w:tblPr>
                  <w:tblGrid>
                    <w:gridCol w:w="1214"/>
                  </w:tblGrid>
                  <w:tr w:rsidR="0041032A">
                    <w:trPr>
                      <w:tblCellSpacing w:w="0" w:type="dxa"/>
                      <w:jc w:val="right"/>
                    </w:trPr>
                    <w:tc>
                      <w:tcPr>
                        <w:tcW w:w="0" w:type="auto"/>
                        <w:tcMar>
                          <w:top w:w="0" w:type="dxa"/>
                          <w:left w:w="0" w:type="dxa"/>
                          <w:bottom w:w="45" w:type="dxa"/>
                          <w:right w:w="0" w:type="dxa"/>
                        </w:tcMar>
                        <w:vAlign w:val="bottom"/>
                        <w:hideMark/>
                      </w:tcPr>
                      <w:p w:rsidR="0041032A" w:rsidRDefault="0041032A">
                        <w:pPr>
                          <w:rPr>
                            <w:rFonts w:ascii="Arial" w:hAnsi="Arial" w:cs="Arial"/>
                            <w:sz w:val="24"/>
                            <w:szCs w:val="24"/>
                          </w:rPr>
                        </w:pPr>
                        <w:r>
                          <w:rPr>
                            <w:rFonts w:ascii="Arial" w:hAnsi="Arial" w:cs="Arial"/>
                            <w:b/>
                            <w:bCs/>
                            <w:color w:val="000080"/>
                            <w:u w:val="single"/>
                            <w:rtl/>
                          </w:rPr>
                          <w:t xml:space="preserve">תרומתו לנגב </w:t>
                        </w:r>
                        <w:r>
                          <w:rPr>
                            <w:rFonts w:ascii="Arial" w:hAnsi="Arial" w:cs="Arial"/>
                            <w:b/>
                            <w:bCs/>
                            <w:color w:val="000080"/>
                            <w:u w:val="single"/>
                          </w:rPr>
                          <w:br/>
                        </w:r>
                      </w:p>
                    </w:tc>
                  </w:tr>
                  <w:tr w:rsidR="0041032A">
                    <w:trPr>
                      <w:trHeight w:val="45"/>
                      <w:tblCellSpacing w:w="0" w:type="dxa"/>
                      <w:jc w:val="right"/>
                    </w:trPr>
                    <w:tc>
                      <w:tcPr>
                        <w:tcW w:w="0" w:type="auto"/>
                        <w:vAlign w:val="center"/>
                        <w:hideMark/>
                      </w:tcPr>
                      <w:p w:rsidR="0041032A" w:rsidRDefault="0041032A">
                        <w:pPr>
                          <w:rPr>
                            <w:rFonts w:ascii="Arial" w:hAnsi="Arial" w:cs="Arial"/>
                            <w:sz w:val="4"/>
                            <w:szCs w:val="24"/>
                          </w:rPr>
                        </w:pPr>
                      </w:p>
                    </w:tc>
                  </w:tr>
                </w:tbl>
                <w:p w:rsidR="0041032A" w:rsidRDefault="0041032A">
                  <w:pPr>
                    <w:jc w:val="right"/>
                    <w:rPr>
                      <w:rFonts w:ascii="Arial" w:hAnsi="Arial" w:cs="Arial"/>
                      <w:vanish/>
                      <w:color w:val="000000"/>
                      <w:sz w:val="21"/>
                      <w:szCs w:val="21"/>
                    </w:rPr>
                  </w:pPr>
                </w:p>
                <w:tbl>
                  <w:tblPr>
                    <w:tblW w:w="0" w:type="auto"/>
                    <w:jc w:val="right"/>
                    <w:tblCellSpacing w:w="0" w:type="dxa"/>
                    <w:tblCellMar>
                      <w:left w:w="0" w:type="dxa"/>
                      <w:right w:w="0" w:type="dxa"/>
                    </w:tblCellMar>
                    <w:tblLook w:val="04A0"/>
                  </w:tblPr>
                  <w:tblGrid>
                    <w:gridCol w:w="8640"/>
                  </w:tblGrid>
                  <w:tr w:rsidR="0041032A">
                    <w:trPr>
                      <w:tblCellSpacing w:w="0" w:type="dxa"/>
                      <w:jc w:val="right"/>
                    </w:trPr>
                    <w:tc>
                      <w:tcPr>
                        <w:tcW w:w="0" w:type="auto"/>
                        <w:vAlign w:val="center"/>
                        <w:hideMark/>
                      </w:tcPr>
                      <w:p w:rsidR="0041032A" w:rsidRDefault="0041032A">
                        <w:pPr>
                          <w:jc w:val="right"/>
                          <w:rPr>
                            <w:rFonts w:ascii="Arial" w:hAnsi="Arial" w:cs="Arial"/>
                          </w:rPr>
                        </w:pPr>
                        <w:r>
                          <w:rPr>
                            <w:rStyle w:val="blacktahoma1"/>
                            <w:b/>
                            <w:bCs/>
                            <w:color w:val="3F3F3F"/>
                            <w:sz w:val="18"/>
                            <w:szCs w:val="18"/>
                            <w:rtl/>
                          </w:rPr>
                          <w:t>ככל שגבר מתח הביטחוני, הוא התרחק לא פעם מהאידיאולוגיה "השומרית" הקלאסית בדבר דו קיום</w:t>
                        </w:r>
                      </w:p>
                      <w:p w:rsidR="0041032A" w:rsidRDefault="0041032A">
                        <w:pPr>
                          <w:jc w:val="center"/>
                          <w:rPr>
                            <w:rFonts w:ascii="Arial" w:hAnsi="Arial" w:cs="Arial"/>
                            <w:sz w:val="24"/>
                            <w:szCs w:val="24"/>
                          </w:rPr>
                        </w:pPr>
                        <w:r>
                          <w:rPr>
                            <w:rFonts w:ascii="Arial" w:hAnsi="Arial" w:cs="Arial"/>
                          </w:rPr>
                          <w:t>▪  ▪  ▪</w:t>
                        </w:r>
                      </w:p>
                    </w:tc>
                  </w:tr>
                </w:tbl>
                <w:p w:rsidR="0041032A" w:rsidRDefault="0041032A" w:rsidP="0041032A">
                  <w:pPr>
                    <w:jc w:val="right"/>
                    <w:rPr>
                      <w:rFonts w:ascii="Arial" w:hAnsi="Arial" w:cs="Arial"/>
                      <w:color w:val="000000"/>
                      <w:sz w:val="21"/>
                      <w:szCs w:val="21"/>
                    </w:rPr>
                  </w:pPr>
                  <w:r>
                    <w:rPr>
                      <w:rFonts w:ascii="Arial" w:hAnsi="Arial" w:cs="Arial"/>
                      <w:color w:val="000000"/>
                      <w:sz w:val="21"/>
                      <w:szCs w:val="21"/>
                      <w:rtl/>
                    </w:rPr>
                    <w:t>בכותרת הכתבה שאלנו אם דוד קרון תרם "לדו-קיום" בנגב כמוכתרים אחרים בני זמנו. התשובה מורכבת כשם שאישיותו רבת הפנים הייתה מורכבת. מחד-גיסא, הוא למד את השפה והמנהגים, יצר קשרים וסייע רבות לקיבוצים בנגב הצפוני בצעדיהם הראשונים, מוקפים בשבטים בדואים</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tl/>
                    </w:rPr>
                    <w:t>מאידך-גיסא, ככל שגבר מתח הביטחוני, הוא התרחק לא פעם מהאידיאולוגיה "השומרית" הקלאסית בדבר דו-קיום</w:t>
                  </w:r>
                  <w:r>
                    <w:rPr>
                      <w:rFonts w:ascii="Arial" w:hAnsi="Arial" w:cs="Arial"/>
                      <w:color w:val="000000"/>
                      <w:sz w:val="21"/>
                      <w:szCs w:val="21"/>
                    </w:rPr>
                    <w:t xml:space="preserve">, </w:t>
                  </w:r>
                  <w:hyperlink r:id="rId14" w:history="1">
                    <w:r>
                      <w:rPr>
                        <w:rStyle w:val="Hyperlink"/>
                        <w:rFonts w:ascii="Arial" w:hAnsi="Arial" w:cs="Arial"/>
                        <w:color w:val="000000"/>
                        <w:sz w:val="21"/>
                        <w:szCs w:val="21"/>
                        <w:bdr w:val="none" w:sz="0" w:space="0" w:color="auto" w:frame="1"/>
                        <w:rtl/>
                      </w:rPr>
                      <w:t>כבוד</w:t>
                    </w:r>
                  </w:hyperlink>
                  <w:r>
                    <w:rPr>
                      <w:rFonts w:ascii="Arial" w:hAnsi="Arial" w:cs="Arial"/>
                      <w:color w:val="000000"/>
                      <w:sz w:val="21"/>
                      <w:szCs w:val="21"/>
                    </w:rPr>
                    <w:t xml:space="preserve"> </w:t>
                  </w:r>
                  <w:r>
                    <w:rPr>
                      <w:rFonts w:ascii="Arial" w:hAnsi="Arial" w:cs="Arial"/>
                      <w:color w:val="000000"/>
                      <w:sz w:val="21"/>
                      <w:szCs w:val="21"/>
                      <w:rtl/>
                    </w:rPr>
                    <w:t>ערך האדם ושוויון בין העמים והגיב בחומרה על פגיעת השכנים ברכוש, בקו המים, ביבול או בחלוצים עצמם. עם זאת הקפיד כי את תחושתו, שהנגב ויישוביו נמצאים בסכנה קיומית מצד הבדואים והקיצונים שהסיתו אותם, יש לנהל בחשאיות, תוך השגת ידיעות בעלות ערך צבאי/אסטרטגי ועל השגת ידיעות אלו יש לפעמים לשלם "מחיר" מוסרי/חברתי/אידיאולוגי כבד. בפרק השני של חייו, שירות מדינת ישראל כאיש "מוסד", עשה ללא דופי בנועזות ובמסירות ביודעו כי המדינה על מוסדותיה שלחוהו אל חזית זו</w:t>
                  </w:r>
                  <w:r>
                    <w:rPr>
                      <w:rFonts w:ascii="Arial" w:hAnsi="Arial" w:cs="Arial"/>
                      <w:color w:val="000000"/>
                      <w:sz w:val="21"/>
                      <w:szCs w:val="21"/>
                    </w:rPr>
                    <w:t xml:space="preserve">. </w:t>
                  </w:r>
                </w:p>
                <w:p w:rsidR="0041032A" w:rsidRDefault="0041032A" w:rsidP="0041032A">
                  <w:pPr>
                    <w:jc w:val="right"/>
                    <w:rPr>
                      <w:rFonts w:ascii="Arial" w:hAnsi="Arial" w:cs="Arial"/>
                      <w:color w:val="000000"/>
                      <w:sz w:val="21"/>
                      <w:szCs w:val="21"/>
                    </w:rPr>
                  </w:pPr>
                  <w:r>
                    <w:rPr>
                      <w:rFonts w:ascii="Arial" w:hAnsi="Arial" w:cs="Arial"/>
                      <w:color w:val="000000"/>
                      <w:sz w:val="21"/>
                      <w:szCs w:val="21"/>
                    </w:rPr>
                    <w:t>(</w:t>
                  </w:r>
                  <w:r>
                    <w:rPr>
                      <w:rFonts w:ascii="Arial" w:hAnsi="Arial" w:cs="Arial"/>
                      <w:color w:val="000000"/>
                      <w:sz w:val="21"/>
                      <w:szCs w:val="21"/>
                      <w:rtl/>
                    </w:rPr>
                    <w:t>אני מודה לד"ר זאב זיוון שסייע בהכנת הכתבה</w:t>
                  </w:r>
                  <w:r>
                    <w:rPr>
                      <w:rFonts w:ascii="Arial" w:hAnsi="Arial" w:cs="Arial"/>
                      <w:color w:val="000000"/>
                      <w:sz w:val="21"/>
                      <w:szCs w:val="21"/>
                    </w:rPr>
                    <w:t>).</w:t>
                  </w:r>
                </w:p>
              </w:tc>
            </w:tr>
          </w:tbl>
          <w:p w:rsidR="0041032A" w:rsidRDefault="0041032A">
            <w:pPr>
              <w:jc w:val="right"/>
              <w:rPr>
                <w:rFonts w:ascii="Arial" w:hAnsi="Arial" w:cs="Arial"/>
                <w:vanish/>
              </w:rPr>
            </w:pPr>
          </w:p>
          <w:tbl>
            <w:tblPr>
              <w:tblW w:w="0" w:type="auto"/>
              <w:jc w:val="right"/>
              <w:tblCellSpacing w:w="15" w:type="dxa"/>
              <w:tblCellMar>
                <w:top w:w="15" w:type="dxa"/>
                <w:left w:w="15" w:type="dxa"/>
                <w:bottom w:w="15" w:type="dxa"/>
                <w:right w:w="15" w:type="dxa"/>
              </w:tblCellMar>
              <w:tblLook w:val="04A0"/>
            </w:tblPr>
            <w:tblGrid>
              <w:gridCol w:w="96"/>
            </w:tblGrid>
            <w:tr w:rsidR="0041032A">
              <w:trPr>
                <w:tblCellSpacing w:w="15"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sz w:val="24"/>
                <w:szCs w:val="24"/>
              </w:rPr>
            </w:pPr>
          </w:p>
        </w:tc>
      </w:tr>
    </w:tbl>
    <w:p w:rsidR="0041032A" w:rsidRDefault="0041032A" w:rsidP="0041032A">
      <w:pPr>
        <w:jc w:val="center"/>
        <w:rPr>
          <w:rFonts w:ascii="Arial" w:hAnsi="Arial" w:cs="Arial"/>
          <w:vanish/>
        </w:rPr>
      </w:pPr>
    </w:p>
    <w:tbl>
      <w:tblPr>
        <w:tblW w:w="4800" w:type="dxa"/>
        <w:jc w:val="center"/>
        <w:tblCellSpacing w:w="0" w:type="dxa"/>
        <w:tblCellMar>
          <w:left w:w="0" w:type="dxa"/>
          <w:right w:w="0" w:type="dxa"/>
        </w:tblCellMar>
        <w:tblLook w:val="04A0"/>
      </w:tblPr>
      <w:tblGrid>
        <w:gridCol w:w="4800"/>
      </w:tblGrid>
      <w:tr w:rsidR="0041032A" w:rsidTr="0041032A">
        <w:trPr>
          <w:tblCellSpacing w:w="0" w:type="dxa"/>
          <w:jc w:val="center"/>
        </w:trPr>
        <w:tc>
          <w:tcPr>
            <w:tcW w:w="0" w:type="auto"/>
            <w:hideMark/>
          </w:tcPr>
          <w:tbl>
            <w:tblPr>
              <w:tblW w:w="4800" w:type="dxa"/>
              <w:jc w:val="right"/>
              <w:tblCellSpacing w:w="0" w:type="dxa"/>
              <w:tblCellMar>
                <w:left w:w="0" w:type="dxa"/>
                <w:right w:w="0" w:type="dxa"/>
              </w:tblCellMar>
              <w:tblLook w:val="04A0"/>
            </w:tblPr>
            <w:tblGrid>
              <w:gridCol w:w="90"/>
              <w:gridCol w:w="4710"/>
            </w:tblGrid>
            <w:tr w:rsidR="0041032A" w:rsidTr="0041032A">
              <w:trPr>
                <w:tblCellSpacing w:w="0" w:type="dxa"/>
                <w:jc w:val="right"/>
              </w:trPr>
              <w:tc>
                <w:tcPr>
                  <w:tcW w:w="0" w:type="auto"/>
                  <w:gridSpan w:val="2"/>
                  <w:hideMark/>
                </w:tcPr>
                <w:p w:rsidR="0041032A" w:rsidRDefault="0041032A">
                  <w:pPr>
                    <w:bidi/>
                    <w:rPr>
                      <w:rFonts w:ascii="Arial" w:hAnsi="Arial" w:cs="Arial"/>
                      <w:sz w:val="24"/>
                      <w:szCs w:val="24"/>
                    </w:rPr>
                  </w:pPr>
                  <w:r>
                    <w:rPr>
                      <w:rFonts w:ascii="Arial" w:hAnsi="Arial" w:cs="Arial"/>
                    </w:rPr>
                    <w:pict>
                      <v:rect id="_x0000_i1030" style="width:3in;height:.75pt" o:hrpct="500" o:hralign="center" o:hrstd="t" o:hrnoshade="t" o:hr="t" fillcolor="silver" stroked="f"/>
                    </w:pict>
                  </w:r>
                </w:p>
              </w:tc>
            </w:tr>
            <w:tr w:rsidR="0041032A">
              <w:trPr>
                <w:tblCellSpacing w:w="0" w:type="dxa"/>
                <w:jc w:val="right"/>
              </w:trPr>
              <w:tc>
                <w:tcPr>
                  <w:tcW w:w="0" w:type="auto"/>
                  <w:tcMar>
                    <w:top w:w="105" w:type="dxa"/>
                    <w:left w:w="0" w:type="dxa"/>
                    <w:bottom w:w="0" w:type="dxa"/>
                    <w:right w:w="0" w:type="dxa"/>
                  </w:tcMar>
                  <w:hideMark/>
                </w:tcPr>
                <w:p w:rsidR="0041032A" w:rsidRDefault="0041032A">
                  <w:pPr>
                    <w:rPr>
                      <w:rFonts w:ascii="Arial" w:hAnsi="Arial" w:cs="Arial"/>
                      <w:sz w:val="24"/>
                      <w:szCs w:val="24"/>
                    </w:rPr>
                  </w:pPr>
                  <w:r>
                    <w:rPr>
                      <w:rFonts w:ascii="Arial" w:hAnsi="Arial" w:cs="Arial"/>
                      <w:noProof/>
                    </w:rPr>
                    <w:drawing>
                      <wp:inline distT="0" distB="0" distL="0" distR="0">
                        <wp:extent cx="28575" cy="28575"/>
                        <wp:effectExtent l="19050" t="0" r="9525" b="0"/>
                        <wp:docPr id="12" name="תמונה 12" descr="http://www.news1.co.il/img/squreColo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ews1.co.il/img/squreColored.gif"/>
                                <pic:cNvPicPr>
                                  <a:picLocks noChangeAspect="1" noChangeArrowheads="1"/>
                                </pic:cNvPicPr>
                              </pic:nvPicPr>
                              <pic:blipFill>
                                <a:blip r:embed="rId15" cstate="print"/>
                                <a:srcRect/>
                                <a:stretch>
                                  <a:fillRect/>
                                </a:stretch>
                              </pic:blipFill>
                              <pic:spPr bwMode="auto">
                                <a:xfrm>
                                  <a:off x="0" y="0"/>
                                  <a:ext cx="28575" cy="28575"/>
                                </a:xfrm>
                                <a:prstGeom prst="rect">
                                  <a:avLst/>
                                </a:prstGeom>
                                <a:noFill/>
                                <a:ln w="9525">
                                  <a:noFill/>
                                  <a:miter lim="800000"/>
                                  <a:headEnd/>
                                  <a:tailEnd/>
                                </a:ln>
                              </pic:spPr>
                            </pic:pic>
                          </a:graphicData>
                        </a:graphic>
                      </wp:inline>
                    </w:drawing>
                  </w:r>
                </w:p>
              </w:tc>
              <w:tc>
                <w:tcPr>
                  <w:tcW w:w="0" w:type="auto"/>
                  <w:tcMar>
                    <w:top w:w="0" w:type="dxa"/>
                    <w:left w:w="0" w:type="dxa"/>
                    <w:bottom w:w="0" w:type="dxa"/>
                    <w:right w:w="75" w:type="dxa"/>
                  </w:tcMar>
                  <w:vAlign w:val="center"/>
                  <w:hideMark/>
                </w:tcPr>
                <w:p w:rsidR="0041032A" w:rsidRDefault="0041032A">
                  <w:pPr>
                    <w:jc w:val="right"/>
                    <w:rPr>
                      <w:rStyle w:val="black10pttxt1"/>
                    </w:rPr>
                  </w:pPr>
                  <w:r>
                    <w:rPr>
                      <w:rStyle w:val="black10pttxt1"/>
                      <w:b/>
                      <w:bCs/>
                      <w:rtl/>
                    </w:rPr>
                    <w:t xml:space="preserve">לעיון נוסף </w:t>
                  </w:r>
                </w:p>
                <w:p w:rsidR="0041032A" w:rsidRDefault="0041032A">
                  <w:pPr>
                    <w:jc w:val="right"/>
                    <w:rPr>
                      <w:rStyle w:val="black10pttxt1"/>
                      <w:b/>
                      <w:bCs/>
                    </w:rPr>
                  </w:pPr>
                  <w:r>
                    <w:rPr>
                      <w:rStyle w:val="black10pttxt1"/>
                      <w:b/>
                      <w:bCs/>
                      <w:rtl/>
                    </w:rPr>
                    <w:t>אלתרמן נ', שיר, "דבר", יולי 1949</w:t>
                  </w:r>
                  <w:r>
                    <w:rPr>
                      <w:rStyle w:val="black10pttxt1"/>
                      <w:b/>
                      <w:bCs/>
                    </w:rPr>
                    <w:t xml:space="preserve">. </w:t>
                  </w:r>
                </w:p>
                <w:p w:rsidR="0041032A" w:rsidRDefault="0041032A">
                  <w:pPr>
                    <w:jc w:val="right"/>
                    <w:rPr>
                      <w:rStyle w:val="black10pttxt1"/>
                      <w:b/>
                      <w:bCs/>
                    </w:rPr>
                  </w:pPr>
                  <w:r>
                    <w:rPr>
                      <w:rStyle w:val="black10pttxt1"/>
                      <w:b/>
                      <w:bCs/>
                      <w:rtl/>
                    </w:rPr>
                    <w:t>בן-</w:t>
                  </w:r>
                  <w:proofErr w:type="spellStart"/>
                  <w:r>
                    <w:rPr>
                      <w:rStyle w:val="black10pttxt1"/>
                      <w:b/>
                      <w:bCs/>
                      <w:rtl/>
                    </w:rPr>
                    <w:t>גוריון</w:t>
                  </w:r>
                  <w:proofErr w:type="spellEnd"/>
                  <w:r>
                    <w:rPr>
                      <w:rStyle w:val="black10pttxt1"/>
                      <w:b/>
                      <w:bCs/>
                      <w:rtl/>
                    </w:rPr>
                    <w:t xml:space="preserve"> ד', יומן המלחמה, ב', תל אביב, 1982</w:t>
                  </w:r>
                  <w:r>
                    <w:rPr>
                      <w:rStyle w:val="black10pttxt1"/>
                      <w:b/>
                      <w:bCs/>
                    </w:rPr>
                    <w:t xml:space="preserve">. </w:t>
                  </w:r>
                </w:p>
                <w:p w:rsidR="0041032A" w:rsidRDefault="0041032A">
                  <w:pPr>
                    <w:jc w:val="right"/>
                    <w:rPr>
                      <w:rStyle w:val="black10pttxt1"/>
                      <w:b/>
                      <w:bCs/>
                    </w:rPr>
                  </w:pPr>
                  <w:r>
                    <w:rPr>
                      <w:rStyle w:val="black10pttxt1"/>
                      <w:b/>
                      <w:bCs/>
                      <w:rtl/>
                    </w:rPr>
                    <w:t>גלבר י', שורשי החבצלת, תל אביב 1992</w:t>
                  </w:r>
                  <w:r>
                    <w:rPr>
                      <w:rStyle w:val="black10pttxt1"/>
                      <w:b/>
                      <w:bCs/>
                    </w:rPr>
                    <w:t xml:space="preserve">. </w:t>
                  </w:r>
                </w:p>
                <w:p w:rsidR="0041032A" w:rsidRDefault="0041032A">
                  <w:pPr>
                    <w:jc w:val="right"/>
                    <w:rPr>
                      <w:rStyle w:val="black10pttxt1"/>
                      <w:b/>
                      <w:bCs/>
                    </w:rPr>
                  </w:pPr>
                  <w:r>
                    <w:rPr>
                      <w:rStyle w:val="black10pttxt1"/>
                      <w:b/>
                      <w:bCs/>
                      <w:rtl/>
                    </w:rPr>
                    <w:t>כהן א', כהן מ' מנדלסון מ', חטיבת הנגב במלחמת העצמאות, הוצאה עצמית 2011</w:t>
                  </w:r>
                  <w:r>
                    <w:rPr>
                      <w:rStyle w:val="black10pttxt1"/>
                      <w:b/>
                      <w:bCs/>
                    </w:rPr>
                    <w:t xml:space="preserve">. </w:t>
                  </w:r>
                </w:p>
                <w:p w:rsidR="0041032A" w:rsidRDefault="0041032A">
                  <w:pPr>
                    <w:jc w:val="right"/>
                    <w:rPr>
                      <w:rStyle w:val="black10pttxt1"/>
                      <w:b/>
                      <w:bCs/>
                    </w:rPr>
                  </w:pPr>
                  <w:r>
                    <w:rPr>
                      <w:rStyle w:val="black10pttxt1"/>
                      <w:b/>
                      <w:bCs/>
                      <w:rtl/>
                    </w:rPr>
                    <w:t xml:space="preserve">לפן א', </w:t>
                  </w:r>
                  <w:proofErr w:type="spellStart"/>
                  <w:r>
                    <w:rPr>
                      <w:rStyle w:val="black10pttxt1"/>
                      <w:b/>
                      <w:bCs/>
                      <w:rtl/>
                    </w:rPr>
                    <w:t>הש"י</w:t>
                  </w:r>
                  <w:proofErr w:type="spellEnd"/>
                  <w:r>
                    <w:rPr>
                      <w:rStyle w:val="black10pttxt1"/>
                      <w:b/>
                      <w:bCs/>
                      <w:rtl/>
                    </w:rPr>
                    <w:t>, תל אביב 1997</w:t>
                  </w:r>
                  <w:r>
                    <w:rPr>
                      <w:rStyle w:val="black10pttxt1"/>
                      <w:b/>
                      <w:bCs/>
                    </w:rPr>
                    <w:t xml:space="preserve">. </w:t>
                  </w:r>
                </w:p>
                <w:p w:rsidR="0041032A" w:rsidRDefault="0041032A">
                  <w:pPr>
                    <w:jc w:val="right"/>
                    <w:rPr>
                      <w:rStyle w:val="black10pttxt1"/>
                      <w:b/>
                      <w:bCs/>
                    </w:rPr>
                  </w:pPr>
                  <w:proofErr w:type="spellStart"/>
                  <w:r>
                    <w:rPr>
                      <w:rStyle w:val="black10pttxt1"/>
                      <w:b/>
                      <w:bCs/>
                      <w:rtl/>
                    </w:rPr>
                    <w:t>מילשטיין</w:t>
                  </w:r>
                  <w:proofErr w:type="spellEnd"/>
                  <w:r>
                    <w:rPr>
                      <w:rStyle w:val="black10pttxt1"/>
                      <w:b/>
                      <w:bCs/>
                      <w:rtl/>
                    </w:rPr>
                    <w:t xml:space="preserve"> א', כתבות במרשתת</w:t>
                  </w:r>
                  <w:r>
                    <w:rPr>
                      <w:rStyle w:val="black10pttxt1"/>
                      <w:b/>
                      <w:bCs/>
                    </w:rPr>
                    <w:t xml:space="preserve">. </w:t>
                  </w:r>
                </w:p>
                <w:p w:rsidR="0041032A" w:rsidRDefault="0041032A">
                  <w:pPr>
                    <w:jc w:val="right"/>
                    <w:rPr>
                      <w:rFonts w:ascii="Arial" w:hAnsi="Arial" w:cs="Arial"/>
                      <w:b/>
                      <w:bCs/>
                      <w:sz w:val="24"/>
                      <w:szCs w:val="24"/>
                    </w:rPr>
                  </w:pPr>
                  <w:r>
                    <w:rPr>
                      <w:rStyle w:val="black10pttxt1"/>
                      <w:b/>
                      <w:bCs/>
                      <w:rtl/>
                    </w:rPr>
                    <w:t>פורת ח', המוכתרים העבריים בנגב, 2015</w:t>
                  </w:r>
                  <w:r>
                    <w:rPr>
                      <w:rStyle w:val="black10pttxt1"/>
                      <w:b/>
                      <w:bCs/>
                    </w:rPr>
                    <w:t>.</w:t>
                  </w:r>
                </w:p>
              </w:tc>
            </w:tr>
            <w:tr w:rsidR="0041032A">
              <w:trPr>
                <w:trHeight w:val="75"/>
                <w:tblCellSpacing w:w="0" w:type="dxa"/>
                <w:jc w:val="right"/>
              </w:trPr>
              <w:tc>
                <w:tcPr>
                  <w:tcW w:w="0" w:type="auto"/>
                  <w:gridSpan w:val="2"/>
                  <w:vAlign w:val="center"/>
                  <w:hideMark/>
                </w:tcPr>
                <w:p w:rsidR="0041032A" w:rsidRDefault="0041032A">
                  <w:pPr>
                    <w:rPr>
                      <w:rFonts w:ascii="Arial" w:hAnsi="Arial" w:cs="Arial"/>
                      <w:sz w:val="8"/>
                      <w:szCs w:val="24"/>
                    </w:rPr>
                  </w:pPr>
                </w:p>
              </w:tc>
            </w:tr>
          </w:tbl>
          <w:p w:rsidR="0041032A" w:rsidRDefault="0041032A">
            <w:pPr>
              <w:jc w:val="right"/>
              <w:rPr>
                <w:rFonts w:ascii="Arial" w:hAnsi="Arial" w:cs="Arial"/>
                <w:vanish/>
              </w:rPr>
            </w:pPr>
          </w:p>
          <w:tbl>
            <w:tblPr>
              <w:tblW w:w="0" w:type="auto"/>
              <w:jc w:val="right"/>
              <w:tblCellSpacing w:w="0" w:type="dxa"/>
              <w:tblCellMar>
                <w:left w:w="0" w:type="dxa"/>
                <w:right w:w="0" w:type="dxa"/>
              </w:tblCellMar>
              <w:tblLook w:val="04A0"/>
            </w:tblPr>
            <w:tblGrid>
              <w:gridCol w:w="606"/>
              <w:gridCol w:w="1001"/>
              <w:gridCol w:w="275"/>
              <w:gridCol w:w="510"/>
              <w:gridCol w:w="1001"/>
            </w:tblGrid>
            <w:tr w:rsidR="0041032A">
              <w:trPr>
                <w:trHeight w:val="150"/>
                <w:tblCellSpacing w:w="0" w:type="dxa"/>
                <w:jc w:val="right"/>
              </w:trPr>
              <w:tc>
                <w:tcPr>
                  <w:tcW w:w="0" w:type="auto"/>
                  <w:gridSpan w:val="5"/>
                  <w:vAlign w:val="center"/>
                  <w:hideMark/>
                </w:tcPr>
                <w:p w:rsidR="0041032A" w:rsidRDefault="0041032A">
                  <w:pPr>
                    <w:rPr>
                      <w:rFonts w:ascii="Arial" w:hAnsi="Arial" w:cs="Arial"/>
                      <w:sz w:val="16"/>
                      <w:szCs w:val="20"/>
                    </w:rPr>
                  </w:pPr>
                </w:p>
              </w:tc>
            </w:tr>
            <w:tr w:rsidR="0041032A">
              <w:trPr>
                <w:tblCellSpacing w:w="0" w:type="dxa"/>
                <w:jc w:val="right"/>
              </w:trPr>
              <w:tc>
                <w:tcPr>
                  <w:tcW w:w="0" w:type="auto"/>
                  <w:vAlign w:val="center"/>
                  <w:hideMark/>
                </w:tcPr>
                <w:p w:rsidR="0041032A" w:rsidRDefault="0041032A">
                  <w:pPr>
                    <w:rPr>
                      <w:rFonts w:ascii="Arial" w:hAnsi="Arial" w:cs="Arial"/>
                      <w:sz w:val="20"/>
                      <w:szCs w:val="20"/>
                    </w:rPr>
                  </w:pPr>
                  <w:r>
                    <w:rPr>
                      <w:rFonts w:ascii="Arial" w:hAnsi="Arial" w:cs="Arial"/>
                      <w:sz w:val="20"/>
                      <w:szCs w:val="20"/>
                      <w:rtl/>
                    </w:rPr>
                    <w:t>תאריך</w:t>
                  </w:r>
                  <w:r>
                    <w:rPr>
                      <w:rFonts w:ascii="Arial" w:hAnsi="Arial" w:cs="Arial"/>
                      <w:sz w:val="20"/>
                      <w:szCs w:val="20"/>
                    </w:rPr>
                    <w:t>: </w:t>
                  </w:r>
                </w:p>
              </w:tc>
              <w:tc>
                <w:tcPr>
                  <w:tcW w:w="0" w:type="auto"/>
                  <w:vAlign w:val="center"/>
                  <w:hideMark/>
                </w:tcPr>
                <w:p w:rsidR="0041032A" w:rsidRDefault="0041032A">
                  <w:pPr>
                    <w:rPr>
                      <w:rFonts w:ascii="Arial" w:hAnsi="Arial" w:cs="Arial"/>
                      <w:sz w:val="20"/>
                      <w:szCs w:val="20"/>
                    </w:rPr>
                  </w:pPr>
                  <w:r>
                    <w:rPr>
                      <w:rFonts w:ascii="Arial" w:hAnsi="Arial" w:cs="Arial"/>
                      <w:sz w:val="20"/>
                      <w:szCs w:val="20"/>
                    </w:rPr>
                    <w:t>08/03/2017</w:t>
                  </w:r>
                </w:p>
              </w:tc>
              <w:tc>
                <w:tcPr>
                  <w:tcW w:w="0" w:type="auto"/>
                  <w:vAlign w:val="center"/>
                  <w:hideMark/>
                </w:tcPr>
                <w:p w:rsidR="0041032A" w:rsidRDefault="0041032A">
                  <w:pPr>
                    <w:rPr>
                      <w:rFonts w:ascii="Arial" w:hAnsi="Arial" w:cs="Arial"/>
                      <w:sz w:val="20"/>
                      <w:szCs w:val="20"/>
                    </w:rPr>
                  </w:pPr>
                  <w:r>
                    <w:rPr>
                      <w:rFonts w:ascii="Arial" w:hAnsi="Arial" w:cs="Arial"/>
                      <w:sz w:val="20"/>
                      <w:szCs w:val="20"/>
                    </w:rPr>
                    <w:t>  |  </w:t>
                  </w:r>
                </w:p>
              </w:tc>
              <w:tc>
                <w:tcPr>
                  <w:tcW w:w="0" w:type="auto"/>
                  <w:vAlign w:val="center"/>
                  <w:hideMark/>
                </w:tcPr>
                <w:p w:rsidR="0041032A" w:rsidRDefault="0041032A">
                  <w:pPr>
                    <w:rPr>
                      <w:rFonts w:ascii="Arial" w:hAnsi="Arial" w:cs="Arial"/>
                      <w:sz w:val="20"/>
                      <w:szCs w:val="20"/>
                    </w:rPr>
                  </w:pPr>
                  <w:r>
                    <w:rPr>
                      <w:rFonts w:ascii="Arial" w:hAnsi="Arial" w:cs="Arial"/>
                      <w:sz w:val="20"/>
                      <w:szCs w:val="20"/>
                      <w:rtl/>
                    </w:rPr>
                    <w:t>עודכן</w:t>
                  </w:r>
                  <w:r>
                    <w:rPr>
                      <w:rFonts w:ascii="Arial" w:hAnsi="Arial" w:cs="Arial"/>
                      <w:sz w:val="20"/>
                      <w:szCs w:val="20"/>
                    </w:rPr>
                    <w:t>: </w:t>
                  </w:r>
                </w:p>
              </w:tc>
              <w:tc>
                <w:tcPr>
                  <w:tcW w:w="0" w:type="auto"/>
                  <w:vAlign w:val="center"/>
                  <w:hideMark/>
                </w:tcPr>
                <w:p w:rsidR="0041032A" w:rsidRDefault="0041032A">
                  <w:pPr>
                    <w:rPr>
                      <w:rFonts w:ascii="Arial" w:hAnsi="Arial" w:cs="Arial"/>
                      <w:sz w:val="20"/>
                      <w:szCs w:val="20"/>
                    </w:rPr>
                  </w:pPr>
                  <w:r>
                    <w:rPr>
                      <w:rFonts w:ascii="Arial" w:hAnsi="Arial" w:cs="Arial"/>
                      <w:sz w:val="20"/>
                      <w:szCs w:val="20"/>
                    </w:rPr>
                    <w:t>08/03/2017</w:t>
                  </w:r>
                </w:p>
              </w:tc>
            </w:tr>
          </w:tbl>
          <w:p w:rsidR="0041032A" w:rsidRDefault="0041032A">
            <w:pPr>
              <w:jc w:val="right"/>
              <w:rPr>
                <w:rFonts w:ascii="Arial" w:hAnsi="Arial" w:cs="Arial"/>
                <w:vanish/>
              </w:rPr>
            </w:pPr>
          </w:p>
          <w:tbl>
            <w:tblPr>
              <w:tblW w:w="4800" w:type="dxa"/>
              <w:jc w:val="right"/>
              <w:tblCellSpacing w:w="0" w:type="dxa"/>
              <w:tblCellMar>
                <w:left w:w="0" w:type="dxa"/>
                <w:right w:w="0" w:type="dxa"/>
              </w:tblCellMar>
              <w:tblLook w:val="04A0"/>
            </w:tblPr>
            <w:tblGrid>
              <w:gridCol w:w="4800"/>
            </w:tblGrid>
            <w:tr w:rsidR="0041032A">
              <w:trPr>
                <w:tblCellSpacing w:w="0" w:type="dxa"/>
                <w:jc w:val="right"/>
              </w:trPr>
              <w:tc>
                <w:tcPr>
                  <w:tcW w:w="0" w:type="auto"/>
                  <w:vAlign w:val="center"/>
                  <w:hideMark/>
                </w:tcPr>
                <w:tbl>
                  <w:tblPr>
                    <w:tblW w:w="0" w:type="auto"/>
                    <w:jc w:val="center"/>
                    <w:tblCellSpacing w:w="0" w:type="dxa"/>
                    <w:tblCellMar>
                      <w:left w:w="0" w:type="dxa"/>
                      <w:right w:w="0" w:type="dxa"/>
                    </w:tblCellMar>
                    <w:tblLook w:val="04A0"/>
                  </w:tblPr>
                  <w:tblGrid>
                    <w:gridCol w:w="446"/>
                    <w:gridCol w:w="111"/>
                    <w:gridCol w:w="111"/>
                    <w:gridCol w:w="111"/>
                    <w:gridCol w:w="111"/>
                    <w:gridCol w:w="6"/>
                  </w:tblGrid>
                  <w:tr w:rsidR="0041032A">
                    <w:trPr>
                      <w:tblCellSpacing w:w="0" w:type="dxa"/>
                      <w:jc w:val="center"/>
                    </w:trPr>
                    <w:tc>
                      <w:tcPr>
                        <w:tcW w:w="0" w:type="auto"/>
                        <w:tcMar>
                          <w:top w:w="0" w:type="dxa"/>
                          <w:left w:w="75" w:type="dxa"/>
                          <w:bottom w:w="0" w:type="dxa"/>
                          <w:right w:w="0" w:type="dxa"/>
                        </w:tcMar>
                        <w:vAlign w:val="center"/>
                        <w:hideMark/>
                      </w:tcPr>
                      <w:p w:rsidR="0041032A" w:rsidRDefault="0041032A">
                        <w:pPr>
                          <w:spacing w:before="150"/>
                          <w:jc w:val="right"/>
                          <w:rPr>
                            <w:rFonts w:ascii="Arial" w:hAnsi="Arial" w:cs="Arial"/>
                            <w:sz w:val="17"/>
                            <w:szCs w:val="17"/>
                          </w:rPr>
                        </w:pPr>
                        <w:r>
                          <w:rPr>
                            <w:rFonts w:ascii="Arial" w:hAnsi="Arial" w:cs="Arial"/>
                            <w:sz w:val="17"/>
                            <w:szCs w:val="17"/>
                            <w:rtl/>
                          </w:rPr>
                          <w:t>שתף</w:t>
                        </w:r>
                        <w:r>
                          <w:rPr>
                            <w:rFonts w:ascii="Arial" w:hAnsi="Arial" w:cs="Arial"/>
                            <w:sz w:val="17"/>
                            <w:szCs w:val="17"/>
                          </w:rPr>
                          <w:t>:</w:t>
                        </w:r>
                      </w:p>
                    </w:tc>
                    <w:tc>
                      <w:tcPr>
                        <w:tcW w:w="0" w:type="auto"/>
                        <w:tcMar>
                          <w:top w:w="0" w:type="dxa"/>
                          <w:left w:w="105" w:type="dxa"/>
                          <w:bottom w:w="0" w:type="dxa"/>
                          <w:right w:w="0" w:type="dxa"/>
                        </w:tcMar>
                        <w:vAlign w:val="center"/>
                        <w:hideMark/>
                      </w:tcPr>
                      <w:p w:rsidR="0041032A" w:rsidRDefault="0041032A">
                        <w:pPr>
                          <w:spacing w:before="150"/>
                          <w:jc w:val="right"/>
                          <w:rPr>
                            <w:rFonts w:ascii="Arial" w:hAnsi="Arial" w:cs="Arial"/>
                            <w:sz w:val="17"/>
                            <w:szCs w:val="17"/>
                          </w:rPr>
                        </w:pPr>
                      </w:p>
                    </w:tc>
                    <w:tc>
                      <w:tcPr>
                        <w:tcW w:w="0" w:type="auto"/>
                        <w:tcMar>
                          <w:top w:w="0" w:type="dxa"/>
                          <w:left w:w="105" w:type="dxa"/>
                          <w:bottom w:w="0" w:type="dxa"/>
                          <w:right w:w="0" w:type="dxa"/>
                        </w:tcMar>
                        <w:vAlign w:val="center"/>
                        <w:hideMark/>
                      </w:tcPr>
                      <w:p w:rsidR="0041032A" w:rsidRDefault="0041032A">
                        <w:pPr>
                          <w:spacing w:before="150"/>
                          <w:jc w:val="right"/>
                          <w:rPr>
                            <w:rFonts w:ascii="Arial" w:hAnsi="Arial" w:cs="Arial"/>
                            <w:sz w:val="17"/>
                            <w:szCs w:val="17"/>
                          </w:rPr>
                        </w:pPr>
                      </w:p>
                    </w:tc>
                    <w:tc>
                      <w:tcPr>
                        <w:tcW w:w="0" w:type="auto"/>
                        <w:tcMar>
                          <w:top w:w="0" w:type="dxa"/>
                          <w:left w:w="105" w:type="dxa"/>
                          <w:bottom w:w="0" w:type="dxa"/>
                          <w:right w:w="0" w:type="dxa"/>
                        </w:tcMar>
                        <w:vAlign w:val="center"/>
                        <w:hideMark/>
                      </w:tcPr>
                      <w:p w:rsidR="0041032A" w:rsidRDefault="0041032A">
                        <w:pPr>
                          <w:spacing w:before="150"/>
                          <w:jc w:val="right"/>
                          <w:rPr>
                            <w:rFonts w:ascii="Arial" w:hAnsi="Arial" w:cs="Arial"/>
                            <w:sz w:val="17"/>
                            <w:szCs w:val="17"/>
                          </w:rPr>
                        </w:pPr>
                      </w:p>
                    </w:tc>
                    <w:tc>
                      <w:tcPr>
                        <w:tcW w:w="0" w:type="auto"/>
                        <w:tcMar>
                          <w:top w:w="0" w:type="dxa"/>
                          <w:left w:w="105" w:type="dxa"/>
                          <w:bottom w:w="0" w:type="dxa"/>
                          <w:right w:w="0" w:type="dxa"/>
                        </w:tcMar>
                        <w:vAlign w:val="center"/>
                        <w:hideMark/>
                      </w:tcPr>
                      <w:p w:rsidR="0041032A" w:rsidRDefault="0041032A">
                        <w:pPr>
                          <w:spacing w:before="150"/>
                          <w:jc w:val="right"/>
                          <w:rPr>
                            <w:rFonts w:ascii="Arial" w:hAnsi="Arial" w:cs="Arial"/>
                            <w:sz w:val="17"/>
                            <w:szCs w:val="17"/>
                          </w:rPr>
                        </w:pPr>
                      </w:p>
                    </w:tc>
                    <w:tc>
                      <w:tcPr>
                        <w:tcW w:w="0" w:type="auto"/>
                        <w:vAlign w:val="center"/>
                        <w:hideMark/>
                      </w:tcPr>
                      <w:p w:rsidR="0041032A" w:rsidRDefault="0041032A">
                        <w:pPr>
                          <w:spacing w:before="150"/>
                          <w:jc w:val="right"/>
                          <w:rPr>
                            <w:rFonts w:ascii="Arial" w:hAnsi="Arial" w:cs="Arial"/>
                            <w:sz w:val="17"/>
                            <w:szCs w:val="17"/>
                          </w:rPr>
                        </w:pPr>
                      </w:p>
                    </w:tc>
                  </w:tr>
                </w:tbl>
                <w:p w:rsidR="0041032A" w:rsidRDefault="0041032A">
                  <w:pPr>
                    <w:jc w:val="center"/>
                    <w:rPr>
                      <w:rFonts w:ascii="Arial" w:hAnsi="Arial" w:cs="Arial"/>
                      <w:sz w:val="24"/>
                      <w:szCs w:val="24"/>
                    </w:rPr>
                  </w:pPr>
                </w:p>
              </w:tc>
            </w:tr>
          </w:tbl>
          <w:p w:rsidR="0041032A" w:rsidRDefault="0041032A">
            <w:pPr>
              <w:jc w:val="right"/>
              <w:rPr>
                <w:rFonts w:ascii="Arial" w:hAnsi="Arial" w:cs="Arial"/>
                <w:vanish/>
              </w:rPr>
            </w:pPr>
          </w:p>
          <w:tbl>
            <w:tblPr>
              <w:tblW w:w="4800" w:type="dxa"/>
              <w:jc w:val="right"/>
              <w:tblCellSpacing w:w="0" w:type="dxa"/>
              <w:tblCellMar>
                <w:left w:w="0" w:type="dxa"/>
                <w:right w:w="0" w:type="dxa"/>
              </w:tblCellMar>
              <w:tblLook w:val="04A0"/>
            </w:tblPr>
            <w:tblGrid>
              <w:gridCol w:w="4800"/>
            </w:tblGrid>
            <w:tr w:rsidR="0041032A">
              <w:trPr>
                <w:tblCellSpacing w:w="0" w:type="dxa"/>
                <w:jc w:val="right"/>
              </w:trPr>
              <w:tc>
                <w:tcPr>
                  <w:tcW w:w="0" w:type="auto"/>
                  <w:vAlign w:val="center"/>
                  <w:hideMark/>
                </w:tcPr>
                <w:p w:rsidR="0041032A" w:rsidRDefault="0041032A">
                  <w:pPr>
                    <w:rPr>
                      <w:rFonts w:ascii="Arial" w:hAnsi="Arial" w:cs="Arial"/>
                      <w:sz w:val="24"/>
                      <w:szCs w:val="24"/>
                    </w:rPr>
                  </w:pPr>
                </w:p>
              </w:tc>
            </w:tr>
          </w:tbl>
          <w:p w:rsidR="0041032A" w:rsidRDefault="0041032A">
            <w:pPr>
              <w:jc w:val="right"/>
              <w:rPr>
                <w:rFonts w:ascii="Arial" w:hAnsi="Arial" w:cs="Arial"/>
                <w:sz w:val="24"/>
                <w:szCs w:val="24"/>
              </w:rPr>
            </w:pPr>
          </w:p>
        </w:tc>
      </w:tr>
    </w:tbl>
    <w:p w:rsidR="002D7940" w:rsidRDefault="002D7940">
      <w:pPr>
        <w:rPr>
          <w:rFonts w:hint="cs"/>
          <w:rtl/>
        </w:rPr>
      </w:pPr>
    </w:p>
    <w:sectPr w:rsidR="002D7940" w:rsidSect="00E2048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7940"/>
    <w:rsid w:val="002D7940"/>
    <w:rsid w:val="0041032A"/>
    <w:rsid w:val="0077432F"/>
    <w:rsid w:val="00E2048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4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D7940"/>
    <w:rPr>
      <w:color w:val="0000FF"/>
      <w:u w:val="single"/>
    </w:rPr>
  </w:style>
  <w:style w:type="character" w:styleId="FollowedHyperlink">
    <w:name w:val="FollowedHyperlink"/>
    <w:basedOn w:val="a0"/>
    <w:uiPriority w:val="99"/>
    <w:semiHidden/>
    <w:unhideWhenUsed/>
    <w:rsid w:val="0041032A"/>
    <w:rPr>
      <w:color w:val="800080" w:themeColor="followedHyperlink"/>
      <w:u w:val="single"/>
    </w:rPr>
  </w:style>
  <w:style w:type="character" w:customStyle="1" w:styleId="blacktahoma1">
    <w:name w:val="blacktahoma1"/>
    <w:basedOn w:val="a0"/>
    <w:rsid w:val="0041032A"/>
    <w:rPr>
      <w:rFonts w:ascii="Tahoma" w:hAnsi="Tahoma" w:cs="Tahoma" w:hint="default"/>
      <w:strike w:val="0"/>
      <w:dstrike w:val="0"/>
      <w:sz w:val="17"/>
      <w:szCs w:val="17"/>
      <w:u w:val="none"/>
      <w:effect w:val="none"/>
    </w:rPr>
  </w:style>
  <w:style w:type="character" w:customStyle="1" w:styleId="black10pttxt1">
    <w:name w:val="black10pttxt1"/>
    <w:basedOn w:val="a0"/>
    <w:rsid w:val="0041032A"/>
    <w:rPr>
      <w:rFonts w:ascii="Arial" w:hAnsi="Arial" w:cs="Arial" w:hint="default"/>
      <w:strike w:val="0"/>
      <w:dstrike w:val="0"/>
      <w:color w:val="000000"/>
      <w:sz w:val="20"/>
      <w:szCs w:val="20"/>
      <w:u w:val="none"/>
      <w:effect w:val="none"/>
    </w:rPr>
  </w:style>
  <w:style w:type="paragraph" w:styleId="a3">
    <w:name w:val="Balloon Text"/>
    <w:basedOn w:val="a"/>
    <w:link w:val="a4"/>
    <w:uiPriority w:val="99"/>
    <w:semiHidden/>
    <w:unhideWhenUsed/>
    <w:rsid w:val="0041032A"/>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4103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3364979">
      <w:bodyDiv w:val="1"/>
      <w:marLeft w:val="0"/>
      <w:marRight w:val="0"/>
      <w:marTop w:val="0"/>
      <w:marBottom w:val="0"/>
      <w:divBdr>
        <w:top w:val="none" w:sz="0" w:space="0" w:color="auto"/>
        <w:left w:val="none" w:sz="0" w:space="0" w:color="auto"/>
        <w:bottom w:val="none" w:sz="0" w:space="0" w:color="auto"/>
        <w:right w:val="none" w:sz="0" w:space="0" w:color="auto"/>
      </w:divBdr>
      <w:divsChild>
        <w:div w:id="1869945288">
          <w:marLeft w:val="0"/>
          <w:marRight w:val="0"/>
          <w:marTop w:val="60"/>
          <w:marBottom w:val="0"/>
          <w:divBdr>
            <w:top w:val="none" w:sz="0" w:space="0" w:color="auto"/>
            <w:left w:val="none" w:sz="0" w:space="0" w:color="auto"/>
            <w:bottom w:val="none" w:sz="0" w:space="0" w:color="auto"/>
            <w:right w:val="none" w:sz="0" w:space="0" w:color="auto"/>
          </w:divBdr>
          <w:divsChild>
            <w:div w:id="95371872">
              <w:marLeft w:val="0"/>
              <w:marRight w:val="0"/>
              <w:marTop w:val="0"/>
              <w:marBottom w:val="0"/>
              <w:divBdr>
                <w:top w:val="none" w:sz="0" w:space="0" w:color="auto"/>
                <w:left w:val="none" w:sz="0" w:space="0" w:color="auto"/>
                <w:bottom w:val="none" w:sz="0" w:space="0" w:color="auto"/>
                <w:right w:val="none" w:sz="0" w:space="0" w:color="auto"/>
              </w:divBdr>
              <w:divsChild>
                <w:div w:id="224030021">
                  <w:marLeft w:val="0"/>
                  <w:marRight w:val="0"/>
                  <w:marTop w:val="0"/>
                  <w:marBottom w:val="0"/>
                  <w:divBdr>
                    <w:top w:val="none" w:sz="0" w:space="0" w:color="auto"/>
                    <w:left w:val="none" w:sz="0" w:space="0" w:color="auto"/>
                    <w:bottom w:val="none" w:sz="0" w:space="0" w:color="auto"/>
                    <w:right w:val="none" w:sz="0" w:space="0" w:color="auto"/>
                  </w:divBdr>
                </w:div>
                <w:div w:id="604466297">
                  <w:marLeft w:val="0"/>
                  <w:marRight w:val="90"/>
                  <w:marTop w:val="60"/>
                  <w:marBottom w:val="0"/>
                  <w:divBdr>
                    <w:top w:val="none" w:sz="0" w:space="0" w:color="auto"/>
                    <w:left w:val="none" w:sz="0" w:space="0" w:color="auto"/>
                    <w:bottom w:val="none" w:sz="0" w:space="0" w:color="auto"/>
                    <w:right w:val="none" w:sz="0" w:space="0" w:color="auto"/>
                  </w:divBdr>
                </w:div>
                <w:div w:id="119030425">
                  <w:marLeft w:val="0"/>
                  <w:marRight w:val="0"/>
                  <w:marTop w:val="0"/>
                  <w:marBottom w:val="0"/>
                  <w:divBdr>
                    <w:top w:val="none" w:sz="0" w:space="0" w:color="auto"/>
                    <w:left w:val="none" w:sz="0" w:space="0" w:color="auto"/>
                    <w:bottom w:val="none" w:sz="0" w:space="0" w:color="auto"/>
                    <w:right w:val="none" w:sz="0" w:space="0" w:color="auto"/>
                  </w:divBdr>
                </w:div>
                <w:div w:id="1951626118">
                  <w:marLeft w:val="0"/>
                  <w:marRight w:val="90"/>
                  <w:marTop w:val="60"/>
                  <w:marBottom w:val="0"/>
                  <w:divBdr>
                    <w:top w:val="none" w:sz="0" w:space="0" w:color="auto"/>
                    <w:left w:val="none" w:sz="0" w:space="0" w:color="auto"/>
                    <w:bottom w:val="none" w:sz="0" w:space="0" w:color="auto"/>
                    <w:right w:val="none" w:sz="0" w:space="0" w:color="auto"/>
                  </w:divBdr>
                </w:div>
                <w:div w:id="156506080">
                  <w:marLeft w:val="0"/>
                  <w:marRight w:val="0"/>
                  <w:marTop w:val="0"/>
                  <w:marBottom w:val="0"/>
                  <w:divBdr>
                    <w:top w:val="none" w:sz="0" w:space="0" w:color="auto"/>
                    <w:left w:val="none" w:sz="0" w:space="0" w:color="auto"/>
                    <w:bottom w:val="none" w:sz="0" w:space="0" w:color="auto"/>
                    <w:right w:val="none" w:sz="0" w:space="0" w:color="auto"/>
                  </w:divBdr>
                </w:div>
                <w:div w:id="60762905">
                  <w:marLeft w:val="0"/>
                  <w:marRight w:val="0"/>
                  <w:marTop w:val="0"/>
                  <w:marBottom w:val="0"/>
                  <w:divBdr>
                    <w:top w:val="none" w:sz="0" w:space="0" w:color="auto"/>
                    <w:left w:val="none" w:sz="0" w:space="0" w:color="auto"/>
                    <w:bottom w:val="none" w:sz="0" w:space="0" w:color="auto"/>
                    <w:right w:val="none" w:sz="0" w:space="0" w:color="auto"/>
                  </w:divBdr>
                </w:div>
                <w:div w:id="1665281659">
                  <w:marLeft w:val="0"/>
                  <w:marRight w:val="90"/>
                  <w:marTop w:val="60"/>
                  <w:marBottom w:val="0"/>
                  <w:divBdr>
                    <w:top w:val="none" w:sz="0" w:space="0" w:color="auto"/>
                    <w:left w:val="none" w:sz="0" w:space="0" w:color="auto"/>
                    <w:bottom w:val="none" w:sz="0" w:space="0" w:color="auto"/>
                    <w:right w:val="none" w:sz="0" w:space="0" w:color="auto"/>
                  </w:divBdr>
                </w:div>
                <w:div w:id="922377433">
                  <w:marLeft w:val="0"/>
                  <w:marRight w:val="0"/>
                  <w:marTop w:val="0"/>
                  <w:marBottom w:val="0"/>
                  <w:divBdr>
                    <w:top w:val="none" w:sz="0" w:space="0" w:color="auto"/>
                    <w:left w:val="none" w:sz="0" w:space="0" w:color="auto"/>
                    <w:bottom w:val="none" w:sz="0" w:space="0" w:color="auto"/>
                    <w:right w:val="none" w:sz="0" w:space="0" w:color="auto"/>
                  </w:divBdr>
                </w:div>
                <w:div w:id="293214721">
                  <w:marLeft w:val="0"/>
                  <w:marRight w:val="0"/>
                  <w:marTop w:val="0"/>
                  <w:marBottom w:val="0"/>
                  <w:divBdr>
                    <w:top w:val="none" w:sz="0" w:space="0" w:color="auto"/>
                    <w:left w:val="none" w:sz="0" w:space="0" w:color="auto"/>
                    <w:bottom w:val="none" w:sz="0" w:space="0" w:color="auto"/>
                    <w:right w:val="none" w:sz="0" w:space="0" w:color="auto"/>
                  </w:divBdr>
                </w:div>
                <w:div w:id="977877584">
                  <w:marLeft w:val="0"/>
                  <w:marRight w:val="90"/>
                  <w:marTop w:val="60"/>
                  <w:marBottom w:val="0"/>
                  <w:divBdr>
                    <w:top w:val="none" w:sz="0" w:space="0" w:color="auto"/>
                    <w:left w:val="none" w:sz="0" w:space="0" w:color="auto"/>
                    <w:bottom w:val="none" w:sz="0" w:space="0" w:color="auto"/>
                    <w:right w:val="none" w:sz="0" w:space="0" w:color="auto"/>
                  </w:divBdr>
                </w:div>
                <w:div w:id="493495720">
                  <w:marLeft w:val="0"/>
                  <w:marRight w:val="0"/>
                  <w:marTop w:val="0"/>
                  <w:marBottom w:val="0"/>
                  <w:divBdr>
                    <w:top w:val="none" w:sz="0" w:space="0" w:color="auto"/>
                    <w:left w:val="none" w:sz="0" w:space="0" w:color="auto"/>
                    <w:bottom w:val="none" w:sz="0" w:space="0" w:color="auto"/>
                    <w:right w:val="none" w:sz="0" w:space="0" w:color="auto"/>
                  </w:divBdr>
                </w:div>
                <w:div w:id="667755664">
                  <w:marLeft w:val="0"/>
                  <w:marRight w:val="0"/>
                  <w:marTop w:val="0"/>
                  <w:marBottom w:val="0"/>
                  <w:divBdr>
                    <w:top w:val="none" w:sz="0" w:space="0" w:color="auto"/>
                    <w:left w:val="none" w:sz="0" w:space="0" w:color="auto"/>
                    <w:bottom w:val="none" w:sz="0" w:space="0" w:color="auto"/>
                    <w:right w:val="none" w:sz="0" w:space="0" w:color="auto"/>
                  </w:divBdr>
                </w:div>
                <w:div w:id="859702126">
                  <w:marLeft w:val="0"/>
                  <w:marRight w:val="90"/>
                  <w:marTop w:val="60"/>
                  <w:marBottom w:val="0"/>
                  <w:divBdr>
                    <w:top w:val="none" w:sz="0" w:space="0" w:color="auto"/>
                    <w:left w:val="none" w:sz="0" w:space="0" w:color="auto"/>
                    <w:bottom w:val="none" w:sz="0" w:space="0" w:color="auto"/>
                    <w:right w:val="none" w:sz="0" w:space="0" w:color="auto"/>
                  </w:divBdr>
                </w:div>
                <w:div w:id="380830617">
                  <w:marLeft w:val="0"/>
                  <w:marRight w:val="0"/>
                  <w:marTop w:val="0"/>
                  <w:marBottom w:val="0"/>
                  <w:divBdr>
                    <w:top w:val="none" w:sz="0" w:space="0" w:color="auto"/>
                    <w:left w:val="none" w:sz="0" w:space="0" w:color="auto"/>
                    <w:bottom w:val="none" w:sz="0" w:space="0" w:color="auto"/>
                    <w:right w:val="none" w:sz="0" w:space="0" w:color="auto"/>
                  </w:divBdr>
                </w:div>
                <w:div w:id="318192286">
                  <w:marLeft w:val="0"/>
                  <w:marRight w:val="0"/>
                  <w:marTop w:val="0"/>
                  <w:marBottom w:val="0"/>
                  <w:divBdr>
                    <w:top w:val="none" w:sz="0" w:space="0" w:color="auto"/>
                    <w:left w:val="none" w:sz="0" w:space="0" w:color="auto"/>
                    <w:bottom w:val="none" w:sz="0" w:space="0" w:color="auto"/>
                    <w:right w:val="none" w:sz="0" w:space="0" w:color="auto"/>
                  </w:divBdr>
                </w:div>
                <w:div w:id="1735083018">
                  <w:marLeft w:val="0"/>
                  <w:marRight w:val="0"/>
                  <w:marTop w:val="0"/>
                  <w:marBottom w:val="0"/>
                  <w:divBdr>
                    <w:top w:val="none" w:sz="0" w:space="0" w:color="auto"/>
                    <w:left w:val="none" w:sz="0" w:space="0" w:color="auto"/>
                    <w:bottom w:val="none" w:sz="0" w:space="0" w:color="auto"/>
                    <w:right w:val="none" w:sz="0" w:space="0" w:color="auto"/>
                  </w:divBdr>
                </w:div>
                <w:div w:id="11872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news1.co.il/TagDetails.aspx?TagID=3443" TargetMode="External"/><Relationship Id="rId13" Type="http://schemas.openxmlformats.org/officeDocument/2006/relationships/hyperlink" Target="http://m.news1.co.il/TagDetails.aspx?TagID=3607"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news1.co.il/TagDetails.aspx?TagID=3443" TargetMode="External"/><Relationship Id="rId11" Type="http://schemas.openxmlformats.org/officeDocument/2006/relationships/hyperlink" Target="http://m.news1.co.il/TagDetails.aspx?TagID=1172" TargetMode="External"/><Relationship Id="rId5" Type="http://schemas.openxmlformats.org/officeDocument/2006/relationships/image" Target="media/image2.jpeg"/><Relationship Id="rId15" Type="http://schemas.openxmlformats.org/officeDocument/2006/relationships/image" Target="media/image6.gif"/><Relationship Id="rId10" Type="http://schemas.openxmlformats.org/officeDocument/2006/relationships/hyperlink" Target="http://m.news1.co.il/TagDetails.aspx?TagID=1172"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m.news1.co.il/TagDetails.aspx?TagID=344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2085</Words>
  <Characters>11888</Characters>
  <Application>Microsoft Office Word</Application>
  <DocSecurity>0</DocSecurity>
  <Lines>99</Lines>
  <Paragraphs>27</Paragraphs>
  <ScaleCrop>false</ScaleCrop>
  <Company/>
  <LinksUpToDate>false</LinksUpToDate>
  <CharactersWithSpaces>13946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2017-06-26T05:47:00Z</dcterms:created>
  <dcterms:modified xsi:type="dcterms:W3CDTF">2017-06-26T05:47:00Z</dcterms:modified>
</cp:coreProperties>
</file>