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91A5" w14:textId="77777777" w:rsidR="0091608D" w:rsidRDefault="0091608D" w:rsidP="0091608D">
      <w:pPr>
        <w:bidi/>
        <w:spacing w:before="100" w:beforeAutospacing="1" w:after="100" w:afterAutospacing="1"/>
      </w:pPr>
      <w:r>
        <w:rPr>
          <w:rFonts w:ascii="Arial" w:hAnsi="Arial" w:cs="Arial"/>
          <w:rtl/>
        </w:rPr>
        <w:t>אפיק רוזנטל 2002-2023</w:t>
      </w:r>
      <w:r w:rsidR="00507B51">
        <w:t>—</w:t>
      </w:r>
    </w:p>
    <w:tbl>
      <w:tblPr>
        <w:bidiVisual/>
        <w:tblW w:w="8306" w:type="dxa"/>
        <w:tblCellSpacing w:w="0" w:type="dxa"/>
        <w:tblCellMar>
          <w:left w:w="0" w:type="dxa"/>
          <w:right w:w="0" w:type="dxa"/>
        </w:tblCellMar>
        <w:tblLook w:val="04A0" w:firstRow="1" w:lastRow="0" w:firstColumn="1" w:lastColumn="0" w:noHBand="0" w:noVBand="1"/>
      </w:tblPr>
      <w:tblGrid>
        <w:gridCol w:w="8306"/>
      </w:tblGrid>
      <w:tr w:rsidR="0091608D" w14:paraId="7924EDEF" w14:textId="77777777" w:rsidTr="00507B51">
        <w:trPr>
          <w:trHeight w:val="450"/>
          <w:tblCellSpacing w:w="0" w:type="dxa"/>
        </w:trPr>
        <w:tc>
          <w:tcPr>
            <w:tcW w:w="0" w:type="auto"/>
            <w:vAlign w:val="center"/>
            <w:hideMark/>
          </w:tcPr>
          <w:p w14:paraId="27EE213D" w14:textId="77777777" w:rsidR="0091608D" w:rsidRDefault="00507B51" w:rsidP="00507B51">
            <w:pPr>
              <w:bidi/>
              <w:spacing w:before="100" w:beforeAutospacing="1" w:after="100" w:afterAutospacing="1"/>
              <w:rPr>
                <w:rtl/>
              </w:rPr>
            </w:pPr>
            <w:r>
              <w:rPr>
                <w:rFonts w:ascii="Arial" w:hAnsi="Arial" w:cs="Arial" w:hint="cs"/>
                <w:rtl/>
              </w:rPr>
              <w:t>בן</w:t>
            </w:r>
            <w:r w:rsidR="0091608D" w:rsidRPr="00507B51">
              <w:rPr>
                <w:rFonts w:ascii="Arial" w:hAnsi="Arial" w:cs="Arial"/>
                <w:rtl/>
              </w:rPr>
              <w:t xml:space="preserve"> זקונ</w:t>
            </w:r>
            <w:r>
              <w:rPr>
                <w:rFonts w:ascii="Arial" w:hAnsi="Arial" w:cs="Arial"/>
                <w:rtl/>
              </w:rPr>
              <w:t>ים לתום ואמיר, אחיהם של ים ושחף</w:t>
            </w:r>
            <w:r>
              <w:rPr>
                <w:rFonts w:ascii="Arial" w:hAnsi="Arial" w:cs="Arial" w:hint="cs"/>
                <w:rtl/>
              </w:rPr>
              <w:t xml:space="preserve"> </w:t>
            </w:r>
            <w:r w:rsidR="0091608D">
              <w:rPr>
                <w:rFonts w:ascii="Arial" w:hAnsi="Arial" w:cs="Arial"/>
                <w:rtl/>
              </w:rPr>
              <w:t>נולד בגדרה ובגיל 4 עבר לכפר מנחם עם המשפחה, כחלק מהמשפח</w:t>
            </w:r>
            <w:r w:rsidR="00B37D1E">
              <w:rPr>
                <w:rFonts w:ascii="Arial" w:hAnsi="Arial" w:cs="Arial"/>
                <w:rtl/>
              </w:rPr>
              <w:t xml:space="preserve">ות הראשונות אשר </w:t>
            </w:r>
            <w:proofErr w:type="spellStart"/>
            <w:r w:rsidR="00B37D1E">
              <w:rPr>
                <w:rFonts w:ascii="Arial" w:hAnsi="Arial" w:cs="Arial"/>
                <w:rtl/>
              </w:rPr>
              <w:t>איכלסו</w:t>
            </w:r>
            <w:proofErr w:type="spellEnd"/>
            <w:r w:rsidR="00B37D1E">
              <w:rPr>
                <w:rFonts w:ascii="Arial" w:hAnsi="Arial" w:cs="Arial"/>
                <w:rtl/>
              </w:rPr>
              <w:t xml:space="preserve"> את ההרחב</w:t>
            </w:r>
            <w:r w:rsidR="00B37D1E">
              <w:rPr>
                <w:rFonts w:ascii="Arial" w:hAnsi="Arial" w:cs="Arial" w:hint="cs"/>
                <w:rtl/>
              </w:rPr>
              <w:t xml:space="preserve">ה.                                                                                                           </w:t>
            </w:r>
            <w:r w:rsidR="0091608D">
              <w:rPr>
                <w:rFonts w:ascii="Arial" w:hAnsi="Arial" w:cs="Arial"/>
                <w:rtl/>
              </w:rPr>
              <w:t xml:space="preserve">כבר בגן ובהמשך בבית הספר האלה וכמובן בתיכון צפית היה אפיק מוקף בחברים ובחברות מהיישוב, מכל </w:t>
            </w:r>
            <w:proofErr w:type="spellStart"/>
            <w:r w:rsidR="0091608D">
              <w:rPr>
                <w:rFonts w:ascii="Arial" w:hAnsi="Arial" w:cs="Arial"/>
                <w:rtl/>
              </w:rPr>
              <w:t>ישובי</w:t>
            </w:r>
            <w:proofErr w:type="spellEnd"/>
            <w:r w:rsidR="0091608D">
              <w:rPr>
                <w:rFonts w:ascii="Arial" w:hAnsi="Arial" w:cs="Arial"/>
                <w:rtl/>
              </w:rPr>
              <w:t xml:space="preserve"> המועצה ומרחבי הארץ. זאת מאחר וידע תמיד להתחבר לכל אחד, לקבל כל אדם ונער ולהשרות שמחה וטוב בסביבתו.</w:t>
            </w:r>
            <w:r w:rsidR="00B37D1E">
              <w:rPr>
                <w:rFonts w:ascii="Arial" w:hAnsi="Arial" w:cs="Arial" w:hint="cs"/>
                <w:rtl/>
              </w:rPr>
              <w:t xml:space="preserve">                                                                       </w:t>
            </w:r>
            <w:r w:rsidR="0091608D">
              <w:rPr>
                <w:rFonts w:ascii="Arial" w:hAnsi="Arial" w:cs="Arial"/>
                <w:rtl/>
              </w:rPr>
              <w:t>במהלך נערותו ובבגרותו הפך להיות גורם מחבר ומגשר בין אנשים, הן בקרב חבריו הרבים והן במשפחה. ידע תמיד ליישב ויכוחים ואי הסכמות תוך הבנה כי אף פעם אין צד אחד שצודק במאת האחוזים ואילו הצד השני טועה, וכי תמיד הדרך הנכונה והאמת נמצאת באמצע. כך היה נוהג וכך היה משפיע על סביבתו.</w:t>
            </w:r>
            <w:r w:rsidR="00B37D1E">
              <w:rPr>
                <w:rFonts w:ascii="Arial" w:hAnsi="Arial" w:cs="Arial" w:hint="cs"/>
                <w:rtl/>
              </w:rPr>
              <w:t xml:space="preserve">                                                                 </w:t>
            </w:r>
            <w:r w:rsidR="0091608D">
              <w:rPr>
                <w:rFonts w:ascii="Arial" w:hAnsi="Arial" w:cs="Arial"/>
                <w:rtl/>
              </w:rPr>
              <w:t xml:space="preserve">עם גיוסו לצה"ל, תוך מטרה לתרום למדינה, והרצון להיות לוחם חוד, התגייס לגדוד 890 בצנחנים ובמסגרת המסלול הוכשר כחובש קרבי. בתוך זמן קצר מאוד זוהה על ידי מפקדיו כבעל "ראש גדול" ורצון להשקיע ואף ללמד ולאמן את חבריו החובשים בפלוגה, למרות שלא היה חייב לעשות כך. ומונה, כתקדים </w:t>
            </w:r>
            <w:proofErr w:type="spellStart"/>
            <w:r w:rsidR="0091608D">
              <w:rPr>
                <w:rFonts w:ascii="Arial" w:hAnsi="Arial" w:cs="Arial"/>
                <w:rtl/>
              </w:rPr>
              <w:t>לחופ"ל</w:t>
            </w:r>
            <w:proofErr w:type="spellEnd"/>
            <w:r w:rsidR="0091608D">
              <w:rPr>
                <w:rFonts w:ascii="Arial" w:hAnsi="Arial" w:cs="Arial"/>
                <w:rtl/>
              </w:rPr>
              <w:t xml:space="preserve"> (חובש פלוגתי, אשר לרוב זהו תפקיד השמור לבעלי ותק </w:t>
            </w:r>
            <w:proofErr w:type="spellStart"/>
            <w:r w:rsidR="0091608D">
              <w:rPr>
                <w:rFonts w:ascii="Arial" w:hAnsi="Arial" w:cs="Arial"/>
                <w:rtl/>
              </w:rPr>
              <w:t>ופז"מ</w:t>
            </w:r>
            <w:proofErr w:type="spellEnd"/>
            <w:r w:rsidR="0091608D">
              <w:rPr>
                <w:rFonts w:ascii="Arial" w:hAnsi="Arial" w:cs="Arial"/>
                <w:rtl/>
              </w:rPr>
              <w:t xml:space="preserve">). לצורך זה  היה צורך </w:t>
            </w:r>
            <w:proofErr w:type="spellStart"/>
            <w:r w:rsidR="0091608D">
              <w:rPr>
                <w:rFonts w:ascii="Arial" w:hAnsi="Arial" w:cs="Arial"/>
                <w:rtl/>
              </w:rPr>
              <w:t>בהעלתו</w:t>
            </w:r>
            <w:proofErr w:type="spellEnd"/>
            <w:r w:rsidR="0091608D">
              <w:rPr>
                <w:rFonts w:ascii="Arial" w:hAnsi="Arial" w:cs="Arial"/>
                <w:rtl/>
              </w:rPr>
              <w:t xml:space="preserve"> בדרגה באופן חריג</w:t>
            </w:r>
            <w:r w:rsidR="0091608D">
              <w:rPr>
                <w:rFonts w:ascii="Arial" w:hAnsi="Arial" w:cs="Arial"/>
                <w:color w:val="1F497D"/>
                <w:rtl/>
              </w:rPr>
              <w:t xml:space="preserve"> </w:t>
            </w:r>
            <w:r w:rsidR="0091608D">
              <w:rPr>
                <w:rFonts w:ascii="Arial" w:hAnsi="Arial" w:cs="Arial"/>
                <w:rtl/>
              </w:rPr>
              <w:t>עוד בטרם סיים מסלול.</w:t>
            </w:r>
            <w:r w:rsidR="00B37D1E">
              <w:rPr>
                <w:rFonts w:ascii="Arial" w:hAnsi="Arial" w:cs="Arial" w:hint="cs"/>
                <w:rtl/>
              </w:rPr>
              <w:t xml:space="preserve"> </w:t>
            </w:r>
            <w:r w:rsidR="0091608D">
              <w:rPr>
                <w:rFonts w:ascii="Arial" w:hAnsi="Arial" w:cs="Arial"/>
                <w:rtl/>
              </w:rPr>
              <w:t>למרות שהגיע, תוך השקעה ועבודה קשה, לתפקיד שרבים חולמים עליו בעת הסדיר, לא הסתפק בכך ותמיד חתר להשיג את מטרתו אליה שאף תמיד</w:t>
            </w:r>
            <w:r w:rsidR="00B37D1E">
              <w:rPr>
                <w:rFonts w:ascii="Arial" w:hAnsi="Arial" w:cs="Arial"/>
                <w:rtl/>
              </w:rPr>
              <w:t xml:space="preserve"> – להיות לוחם חוד ביחידה מובחרת</w:t>
            </w:r>
            <w:r w:rsidR="00B37D1E">
              <w:rPr>
                <w:rFonts w:ascii="Arial" w:hAnsi="Arial" w:cs="Arial" w:hint="cs"/>
                <w:rtl/>
              </w:rPr>
              <w:t xml:space="preserve"> יותר.  י                                                                                                      </w:t>
            </w:r>
            <w:r w:rsidR="0091608D">
              <w:rPr>
                <w:rFonts w:ascii="Arial" w:hAnsi="Arial" w:cs="Arial"/>
                <w:rtl/>
              </w:rPr>
              <w:t>וכך, ברגע שנתגלתה בפניו הזדמנות לעבור ליחידת הקומנדו "מגל</w:t>
            </w:r>
            <w:r w:rsidR="0091608D">
              <w:rPr>
                <w:rFonts w:ascii="Arial" w:hAnsi="Arial" w:cs="Arial"/>
                <w:color w:val="1F497D"/>
                <w:rtl/>
              </w:rPr>
              <w:t>ן</w:t>
            </w:r>
            <w:r w:rsidR="0091608D">
              <w:rPr>
                <w:rFonts w:ascii="Arial" w:hAnsi="Arial" w:cs="Arial"/>
                <w:rtl/>
              </w:rPr>
              <w:t>", לא הרפה ופעל להשגת מטרה זו, הרגע שקיבל את הטלפון המיוחד שמודיע לו זאת, היה בין הרגעים המאושרים בחייו, ובחודש יולי 23 עבר מצנחנים למגלן והצטרף לחפ"ק של סגן מפקד יחידת מגלן.</w:t>
            </w:r>
            <w:r w:rsidR="00B37D1E">
              <w:rPr>
                <w:rFonts w:ascii="Arial" w:hAnsi="Arial" w:cs="Arial" w:hint="cs"/>
                <w:rtl/>
              </w:rPr>
              <w:t xml:space="preserve">                                 </w:t>
            </w:r>
            <w:r w:rsidR="0091608D">
              <w:rPr>
                <w:rFonts w:ascii="Arial" w:hAnsi="Arial" w:cs="Arial"/>
                <w:rtl/>
              </w:rPr>
              <w:t>תו</w:t>
            </w:r>
            <w:r w:rsidR="0091608D">
              <w:rPr>
                <w:rFonts w:ascii="Arial" w:hAnsi="Arial" w:cs="Arial"/>
                <w:color w:val="1F497D"/>
                <w:rtl/>
              </w:rPr>
              <w:t>ך</w:t>
            </w:r>
            <w:r w:rsidR="0091608D">
              <w:rPr>
                <w:rFonts w:ascii="Arial" w:hAnsi="Arial" w:cs="Arial"/>
                <w:rtl/>
              </w:rPr>
              <w:t xml:space="preserve"> זמן קצר מאוד התחברו אפיק והסמג"</w:t>
            </w:r>
            <w:r w:rsidR="00B37D1E">
              <w:rPr>
                <w:rFonts w:ascii="Arial" w:hAnsi="Arial" w:cs="Arial"/>
                <w:rtl/>
              </w:rPr>
              <w:t xml:space="preserve">ד, חן בוכריס, כאילו היו יחד </w:t>
            </w:r>
            <w:r w:rsidR="00B37D1E">
              <w:rPr>
                <w:rFonts w:ascii="Arial" w:hAnsi="Arial" w:cs="Arial" w:hint="cs"/>
                <w:rtl/>
              </w:rPr>
              <w:t xml:space="preserve">מאז ומתמיד.        </w:t>
            </w:r>
            <w:r w:rsidR="0091608D">
              <w:rPr>
                <w:rFonts w:ascii="Arial" w:hAnsi="Arial" w:cs="Arial"/>
                <w:rtl/>
              </w:rPr>
              <w:t>מזה חודשים רבים, טרם ה 7.10, טען אפיק הן באוזני חבריו והן באוזני בני המשפחה, חזור ואמור, כי בחודש אוקטובר תחל מלחמה כוללת שלא הייתה כדוגמת</w:t>
            </w:r>
            <w:r w:rsidR="0091608D">
              <w:rPr>
                <w:rFonts w:ascii="Arial" w:hAnsi="Arial" w:cs="Arial"/>
                <w:color w:val="1F497D"/>
                <w:rtl/>
              </w:rPr>
              <w:t>ה</w:t>
            </w:r>
            <w:r w:rsidR="0091608D">
              <w:rPr>
                <w:rFonts w:ascii="Arial" w:hAnsi="Arial" w:cs="Arial"/>
                <w:rtl/>
              </w:rPr>
              <w:t>, בגזרות שונות הן בדרום והן בצפון, וכי מלחמה זו תגבה מחיר כואב וגדול של חללים וקורבנות, וטען כי כל כמעט כל משפחה בארץ תכיר חלל או הרוג, דבר שלא היה כד</w:t>
            </w:r>
            <w:r w:rsidR="00B37D1E">
              <w:rPr>
                <w:rFonts w:ascii="Arial" w:hAnsi="Arial" w:cs="Arial"/>
                <w:rtl/>
              </w:rPr>
              <w:t>וגמתו, לדבריו</w:t>
            </w:r>
            <w:r w:rsidR="00B37D1E">
              <w:rPr>
                <w:rFonts w:ascii="Arial" w:hAnsi="Arial" w:cs="Arial" w:hint="cs"/>
                <w:rtl/>
              </w:rPr>
              <w:t xml:space="preserve"> </w:t>
            </w:r>
            <w:r w:rsidR="0091608D">
              <w:rPr>
                <w:rFonts w:ascii="Arial" w:hAnsi="Arial" w:cs="Arial"/>
                <w:rtl/>
              </w:rPr>
              <w:t xml:space="preserve">ובשיחות בנושא, ציין תמיד כי במידה ותינתן לו הבחירה היה בוחר בדרכו האחרונה תוך הגנה על המדינה והצלת חיי אדם </w:t>
            </w:r>
            <w:r w:rsidR="00B37D1E">
              <w:rPr>
                <w:rFonts w:ascii="Arial" w:hAnsi="Arial" w:cs="Arial" w:hint="cs"/>
                <w:rtl/>
              </w:rPr>
              <w:t xml:space="preserve">אחרים.                                                                               </w:t>
            </w:r>
            <w:r w:rsidR="0091608D">
              <w:rPr>
                <w:rFonts w:ascii="Arial" w:hAnsi="Arial" w:cs="Arial"/>
                <w:rtl/>
              </w:rPr>
              <w:t>וכך, בבוקר ה 7.10, מייד עם הישמע האזעקות הראשונות, הקפיץ עצמו מהבית לבסיס מגלן, מתרגש אולם חדור מוטיבציה ומטרה, תוך ציון הן לחבריו והן למשפחה כי זוהי המלחמה עליה הוא דיבר כל הזמן (בשלב הזה כלל לא היה ידוע  לאף אחד את גודל האירוע). </w:t>
            </w:r>
            <w:r w:rsidR="00B37D1E">
              <w:rPr>
                <w:rFonts w:ascii="Arial" w:hAnsi="Arial" w:cs="Arial" w:hint="cs"/>
                <w:rtl/>
              </w:rPr>
              <w:t xml:space="preserve">                                                                                                                     </w:t>
            </w:r>
            <w:r w:rsidR="0091608D">
              <w:rPr>
                <w:rFonts w:ascii="Arial" w:hAnsi="Arial" w:cs="Arial"/>
                <w:rtl/>
              </w:rPr>
              <w:t xml:space="preserve">אפיק, יחד עם מפקדו הסמג"ד, חן בוכריס, וקצין </w:t>
            </w:r>
            <w:proofErr w:type="spellStart"/>
            <w:r w:rsidR="0091608D">
              <w:rPr>
                <w:rFonts w:ascii="Arial" w:hAnsi="Arial" w:cs="Arial"/>
                <w:rtl/>
              </w:rPr>
              <w:t>האג"מ</w:t>
            </w:r>
            <w:proofErr w:type="spellEnd"/>
            <w:r w:rsidR="0091608D">
              <w:rPr>
                <w:rFonts w:ascii="Arial" w:hAnsi="Arial" w:cs="Arial"/>
                <w:rtl/>
              </w:rPr>
              <w:t xml:space="preserve"> של היחידה, יפתח </w:t>
            </w:r>
            <w:proofErr w:type="spellStart"/>
            <w:r w:rsidR="0091608D">
              <w:rPr>
                <w:rFonts w:ascii="Arial" w:hAnsi="Arial" w:cs="Arial"/>
                <w:rtl/>
              </w:rPr>
              <w:t>יעבץ</w:t>
            </w:r>
            <w:proofErr w:type="spellEnd"/>
            <w:r w:rsidR="0091608D">
              <w:rPr>
                <w:rFonts w:ascii="Arial" w:hAnsi="Arial" w:cs="Arial"/>
                <w:color w:val="1F497D"/>
                <w:rtl/>
              </w:rPr>
              <w:t>,</w:t>
            </w:r>
            <w:r w:rsidR="0091608D">
              <w:rPr>
                <w:rFonts w:ascii="Arial" w:hAnsi="Arial" w:cs="Arial"/>
                <w:rtl/>
              </w:rPr>
              <w:t xml:space="preserve"> יצאו יחד עם שני לוחמים נוספים עם חפ"ק הסמג"ד לנחל עוז, כאשר הקיבוץ כבר היה "כבוש" על ידי מחבלי החמאס, וכך כל השטח מסביב. בקרב, אשר התנהל, מול מחבלים רבים, ולאחר חיסולם של מחבלים, ותוך גבורה עילאית נהרגו אפיק, הסמג"ד בוכריס וקצין </w:t>
            </w:r>
            <w:proofErr w:type="spellStart"/>
            <w:r w:rsidR="0091608D">
              <w:rPr>
                <w:rFonts w:ascii="Arial" w:hAnsi="Arial" w:cs="Arial"/>
                <w:rtl/>
              </w:rPr>
              <w:t>האג"מ</w:t>
            </w:r>
            <w:proofErr w:type="spellEnd"/>
            <w:r w:rsidR="0091608D">
              <w:rPr>
                <w:rFonts w:ascii="Arial" w:hAnsi="Arial" w:cs="Arial"/>
                <w:rtl/>
              </w:rPr>
              <w:t xml:space="preserve"> </w:t>
            </w:r>
            <w:proofErr w:type="spellStart"/>
            <w:r w:rsidR="0091608D">
              <w:rPr>
                <w:rFonts w:ascii="Arial" w:hAnsi="Arial" w:cs="Arial"/>
                <w:rtl/>
              </w:rPr>
              <w:t>יעבץ</w:t>
            </w:r>
            <w:proofErr w:type="spellEnd"/>
            <w:r w:rsidR="0091608D">
              <w:rPr>
                <w:rFonts w:ascii="Arial" w:hAnsi="Arial" w:cs="Arial"/>
                <w:rtl/>
              </w:rPr>
              <w:t xml:space="preserve">. גם תחת אש </w:t>
            </w:r>
            <w:r w:rsidR="0091608D">
              <w:rPr>
                <w:rFonts w:ascii="Arial" w:hAnsi="Arial" w:cs="Arial"/>
                <w:color w:val="1F497D"/>
                <w:rtl/>
              </w:rPr>
              <w:t>ה</w:t>
            </w:r>
            <w:r w:rsidR="0091608D">
              <w:rPr>
                <w:rFonts w:ascii="Arial" w:hAnsi="Arial" w:cs="Arial"/>
                <w:rtl/>
              </w:rPr>
              <w:t xml:space="preserve">תופת והקרב, כאשר נפגעו בוכריס </w:t>
            </w:r>
            <w:proofErr w:type="spellStart"/>
            <w:r w:rsidR="0091608D">
              <w:rPr>
                <w:rFonts w:ascii="Arial" w:hAnsi="Arial" w:cs="Arial"/>
                <w:rtl/>
              </w:rPr>
              <w:t>ויעבץ</w:t>
            </w:r>
            <w:proofErr w:type="spellEnd"/>
            <w:r w:rsidR="0091608D">
              <w:rPr>
                <w:rFonts w:ascii="Arial" w:hAnsi="Arial" w:cs="Arial"/>
                <w:rtl/>
              </w:rPr>
              <w:t xml:space="preserve"> לא היסס אפיק לרגע אחד ומיד זינק כדי לטפל בהם, אולם תוך כדי הטיפול בבוכריס נהרג אפיק (כאשר הוא שכוב על בוכריס ובידו חוסם </w:t>
            </w:r>
            <w:r w:rsidR="00B37D1E">
              <w:rPr>
                <w:rFonts w:ascii="Arial" w:hAnsi="Arial" w:cs="Arial" w:hint="cs"/>
                <w:rtl/>
              </w:rPr>
              <w:t xml:space="preserve">עורקים.                                                                                     </w:t>
            </w:r>
            <w:r w:rsidR="0091608D">
              <w:rPr>
                <w:rFonts w:ascii="Arial" w:hAnsi="Arial" w:cs="Arial"/>
                <w:rtl/>
              </w:rPr>
              <w:t>פעולותיהם המהירות וגבורתם</w:t>
            </w:r>
            <w:r w:rsidR="0091608D">
              <w:rPr>
                <w:rFonts w:ascii="Arial" w:hAnsi="Arial" w:cs="Arial"/>
                <w:color w:val="1F497D"/>
                <w:rtl/>
              </w:rPr>
              <w:t xml:space="preserve">, </w:t>
            </w:r>
            <w:r w:rsidR="0091608D">
              <w:rPr>
                <w:rFonts w:ascii="Arial" w:hAnsi="Arial" w:cs="Arial"/>
                <w:rtl/>
              </w:rPr>
              <w:t xml:space="preserve">תוך הקרבת חייהם, יחד עם כוחות </w:t>
            </w:r>
            <w:proofErr w:type="spellStart"/>
            <w:r w:rsidR="0091608D">
              <w:rPr>
                <w:rFonts w:ascii="Arial" w:hAnsi="Arial" w:cs="Arial"/>
                <w:rtl/>
              </w:rPr>
              <w:t>מגל"ן</w:t>
            </w:r>
            <w:proofErr w:type="spellEnd"/>
            <w:r w:rsidR="0091608D">
              <w:rPr>
                <w:rFonts w:ascii="Arial" w:hAnsi="Arial" w:cs="Arial"/>
                <w:rtl/>
              </w:rPr>
              <w:t xml:space="preserve"> נוספים שהגיעו לאחר מכן, הצילו חיים רבים וגרמו לכך שגורל תושבי נחל עוז, בבוקר ה 7.10, היה שונה מגורלם של תושבי קיבוצים אחרים </w:t>
            </w:r>
            <w:r w:rsidR="00B37D1E">
              <w:rPr>
                <w:rFonts w:ascii="Arial" w:hAnsi="Arial" w:cs="Arial" w:hint="cs"/>
                <w:rtl/>
              </w:rPr>
              <w:t xml:space="preserve">בגזרה.                                                               </w:t>
            </w:r>
            <w:r w:rsidR="0091608D">
              <w:rPr>
                <w:rFonts w:ascii="Arial" w:hAnsi="Arial" w:cs="Arial"/>
                <w:rtl/>
              </w:rPr>
              <w:t>אורח חייו של אפיק, הן כנער והן כגבר, הן באזרחות והן בצבא, אשר מסמלים גישור בין אנשים, חיבור וקבלת האחר, שמחת החיים</w:t>
            </w:r>
            <w:r w:rsidR="0091608D">
              <w:rPr>
                <w:rFonts w:ascii="Arial" w:hAnsi="Arial" w:cs="Arial"/>
                <w:color w:val="1F497D"/>
                <w:rtl/>
              </w:rPr>
              <w:t xml:space="preserve"> שהשרה תמיד בסביבתו</w:t>
            </w:r>
            <w:r w:rsidR="0091608D">
              <w:rPr>
                <w:rFonts w:ascii="Arial" w:hAnsi="Arial" w:cs="Arial"/>
                <w:rtl/>
              </w:rPr>
              <w:t xml:space="preserve"> וכן גבורתו הן בדרכו הצבאית והן באופן נפילתו, תלווה אותנו כאור </w:t>
            </w:r>
            <w:proofErr w:type="spellStart"/>
            <w:r w:rsidR="0091608D">
              <w:rPr>
                <w:rFonts w:ascii="Arial" w:hAnsi="Arial" w:cs="Arial"/>
                <w:rtl/>
              </w:rPr>
              <w:t>וכ"כוכב</w:t>
            </w:r>
            <w:proofErr w:type="spellEnd"/>
            <w:r w:rsidR="0091608D">
              <w:rPr>
                <w:rFonts w:ascii="Arial" w:hAnsi="Arial" w:cs="Arial"/>
                <w:rtl/>
              </w:rPr>
              <w:t xml:space="preserve"> הצפון" לאורך כל חיינו ותשמש כדוגמא לגבורה ולאחדות.</w:t>
            </w:r>
            <w:r w:rsidR="002C7072">
              <w:rPr>
                <w:rFonts w:hint="cs"/>
                <w:rtl/>
              </w:rPr>
              <w:t xml:space="preserve"> </w:t>
            </w:r>
            <w:r>
              <w:rPr>
                <w:rFonts w:ascii="Arial" w:hAnsi="Arial" w:cs="Arial" w:hint="cs"/>
                <w:b/>
                <w:bCs/>
                <w:color w:val="D41E41"/>
                <w:sz w:val="32"/>
                <w:szCs w:val="32"/>
                <w:rtl/>
              </w:rPr>
              <w:t xml:space="preserve">                                                                           </w:t>
            </w:r>
            <w:r w:rsidRPr="00507B51">
              <w:rPr>
                <w:rFonts w:ascii="Arial" w:hAnsi="Arial" w:cs="Arial" w:hint="cs"/>
                <w:color w:val="000000" w:themeColor="text1"/>
                <w:rtl/>
              </w:rPr>
              <w:t>אביו אמיר  רוזנטל</w:t>
            </w:r>
            <w:r>
              <w:rPr>
                <w:rFonts w:ascii="Arial" w:hAnsi="Arial" w:cs="Arial" w:hint="cs"/>
                <w:color w:val="000000" w:themeColor="text1"/>
                <w:rtl/>
              </w:rPr>
              <w:t xml:space="preserve"> </w:t>
            </w:r>
            <w:r w:rsidRPr="00507B51">
              <w:rPr>
                <w:rFonts w:ascii="Arial" w:hAnsi="Arial" w:cs="Arial" w:hint="cs"/>
                <w:color w:val="000000" w:themeColor="text1"/>
                <w:rtl/>
              </w:rPr>
              <w:t xml:space="preserve">                                                                                                                                                       </w:t>
            </w:r>
          </w:p>
          <w:p w14:paraId="757DE0C5" w14:textId="77777777" w:rsidR="0091608D" w:rsidRDefault="0091608D">
            <w:pPr>
              <w:bidi/>
              <w:spacing w:before="100" w:beforeAutospacing="1" w:after="100" w:afterAutospacing="1"/>
              <w:rPr>
                <w:rtl/>
              </w:rPr>
            </w:pPr>
            <w:r>
              <w:rPr>
                <w:rFonts w:hint="cs"/>
                <w:rtl/>
              </w:rPr>
              <w:t> </w:t>
            </w:r>
          </w:p>
        </w:tc>
      </w:tr>
      <w:tr w:rsidR="0091608D" w14:paraId="7F4B3720" w14:textId="77777777" w:rsidTr="00507B51">
        <w:trPr>
          <w:tblCellSpacing w:w="0" w:type="dxa"/>
        </w:trPr>
        <w:tc>
          <w:tcPr>
            <w:tcW w:w="0" w:type="auto"/>
            <w:vAlign w:val="center"/>
            <w:hideMark/>
          </w:tcPr>
          <w:tbl>
            <w:tblPr>
              <w:bidiVisual/>
              <w:tblW w:w="4802" w:type="dxa"/>
              <w:tblCellSpacing w:w="0" w:type="dxa"/>
              <w:tblCellMar>
                <w:left w:w="0" w:type="dxa"/>
                <w:right w:w="0" w:type="dxa"/>
              </w:tblCellMar>
              <w:tblLook w:val="04A0" w:firstRow="1" w:lastRow="0" w:firstColumn="1" w:lastColumn="0" w:noHBand="0" w:noVBand="1"/>
            </w:tblPr>
            <w:tblGrid>
              <w:gridCol w:w="88"/>
              <w:gridCol w:w="4537"/>
              <w:gridCol w:w="177"/>
            </w:tblGrid>
            <w:tr w:rsidR="0091608D" w14:paraId="33C844CB" w14:textId="77777777" w:rsidTr="00507B51">
              <w:trPr>
                <w:tblCellSpacing w:w="0" w:type="dxa"/>
              </w:trPr>
              <w:tc>
                <w:tcPr>
                  <w:tcW w:w="88" w:type="dxa"/>
                  <w:vAlign w:val="center"/>
                  <w:hideMark/>
                </w:tcPr>
                <w:p w14:paraId="18C8DA25" w14:textId="77777777" w:rsidR="0091608D" w:rsidRDefault="0091608D">
                  <w:pPr>
                    <w:bidi/>
                    <w:spacing w:before="100" w:beforeAutospacing="1" w:after="100" w:afterAutospacing="1"/>
                  </w:pPr>
                  <w:r>
                    <w:rPr>
                      <w:rFonts w:hint="cs"/>
                      <w:rtl/>
                    </w:rPr>
                    <w:lastRenderedPageBreak/>
                    <w:t> </w:t>
                  </w:r>
                </w:p>
              </w:tc>
              <w:tc>
                <w:tcPr>
                  <w:tcW w:w="4537" w:type="dxa"/>
                  <w:hideMark/>
                </w:tcPr>
                <w:p w14:paraId="6C657BB4" w14:textId="77777777" w:rsidR="0091608D" w:rsidRDefault="0091608D">
                  <w:pPr>
                    <w:bidi/>
                    <w:spacing w:before="100" w:beforeAutospacing="1" w:after="100" w:afterAutospacing="1"/>
                    <w:rPr>
                      <w:rtl/>
                    </w:rPr>
                  </w:pPr>
                </w:p>
              </w:tc>
              <w:tc>
                <w:tcPr>
                  <w:tcW w:w="177" w:type="dxa"/>
                  <w:vAlign w:val="center"/>
                  <w:hideMark/>
                </w:tcPr>
                <w:p w14:paraId="0C47A66C" w14:textId="77777777" w:rsidR="0091608D" w:rsidRDefault="0091608D">
                  <w:pPr>
                    <w:bidi/>
                    <w:spacing w:before="100" w:beforeAutospacing="1" w:after="100" w:afterAutospacing="1"/>
                    <w:rPr>
                      <w:rtl/>
                    </w:rPr>
                  </w:pPr>
                  <w:r>
                    <w:rPr>
                      <w:rFonts w:hint="cs"/>
                      <w:rtl/>
                    </w:rPr>
                    <w:t> </w:t>
                  </w:r>
                </w:p>
              </w:tc>
            </w:tr>
            <w:tr w:rsidR="0091608D" w14:paraId="647EC42C" w14:textId="77777777" w:rsidTr="00507B51">
              <w:trPr>
                <w:tblCellSpacing w:w="0" w:type="dxa"/>
              </w:trPr>
              <w:tc>
                <w:tcPr>
                  <w:tcW w:w="88" w:type="dxa"/>
                  <w:vAlign w:val="center"/>
                  <w:hideMark/>
                </w:tcPr>
                <w:p w14:paraId="2503E522" w14:textId="77777777" w:rsidR="0091608D" w:rsidRDefault="0091608D">
                  <w:pPr>
                    <w:bidi/>
                    <w:spacing w:before="100" w:beforeAutospacing="1" w:after="100" w:afterAutospacing="1"/>
                    <w:rPr>
                      <w:rtl/>
                    </w:rPr>
                  </w:pPr>
                  <w:r>
                    <w:rPr>
                      <w:rFonts w:hint="cs"/>
                      <w:rtl/>
                    </w:rPr>
                    <w:t> </w:t>
                  </w:r>
                </w:p>
              </w:tc>
              <w:tc>
                <w:tcPr>
                  <w:tcW w:w="4537" w:type="dxa"/>
                  <w:tcMar>
                    <w:top w:w="0" w:type="dxa"/>
                    <w:left w:w="0" w:type="dxa"/>
                    <w:bottom w:w="90" w:type="dxa"/>
                    <w:right w:w="0" w:type="dxa"/>
                  </w:tcMar>
                </w:tcPr>
                <w:p w14:paraId="217A0479" w14:textId="77777777" w:rsidR="0091608D" w:rsidRDefault="0091608D">
                  <w:pPr>
                    <w:bidi/>
                    <w:spacing w:before="100" w:beforeAutospacing="1" w:after="100" w:afterAutospacing="1"/>
                    <w:rPr>
                      <w:rtl/>
                    </w:rPr>
                  </w:pPr>
                </w:p>
              </w:tc>
              <w:tc>
                <w:tcPr>
                  <w:tcW w:w="0" w:type="auto"/>
                  <w:vAlign w:val="center"/>
                  <w:hideMark/>
                </w:tcPr>
                <w:p w14:paraId="610A557F" w14:textId="77777777" w:rsidR="0091608D" w:rsidRDefault="0091608D">
                  <w:pPr>
                    <w:bidi/>
                    <w:spacing w:before="100" w:beforeAutospacing="1" w:after="100" w:afterAutospacing="1"/>
                    <w:rPr>
                      <w:rtl/>
                    </w:rPr>
                  </w:pPr>
                  <w:r>
                    <w:rPr>
                      <w:rFonts w:hint="cs"/>
                      <w:rtl/>
                    </w:rPr>
                    <w:t> </w:t>
                  </w:r>
                </w:p>
              </w:tc>
            </w:tr>
            <w:tr w:rsidR="0091608D" w14:paraId="62946892" w14:textId="77777777" w:rsidTr="00507B51">
              <w:trPr>
                <w:tblCellSpacing w:w="0" w:type="dxa"/>
              </w:trPr>
              <w:tc>
                <w:tcPr>
                  <w:tcW w:w="88" w:type="dxa"/>
                  <w:vAlign w:val="center"/>
                  <w:hideMark/>
                </w:tcPr>
                <w:p w14:paraId="6E38C06C" w14:textId="77777777" w:rsidR="0091608D" w:rsidRDefault="0091608D">
                  <w:pPr>
                    <w:bidi/>
                    <w:spacing w:before="100" w:beforeAutospacing="1" w:after="100" w:afterAutospacing="1"/>
                    <w:rPr>
                      <w:rtl/>
                    </w:rPr>
                  </w:pPr>
                  <w:r>
                    <w:rPr>
                      <w:rFonts w:hint="cs"/>
                      <w:rtl/>
                    </w:rPr>
                    <w:t> </w:t>
                  </w:r>
                </w:p>
              </w:tc>
              <w:tc>
                <w:tcPr>
                  <w:tcW w:w="4537" w:type="dxa"/>
                  <w:vAlign w:val="center"/>
                </w:tcPr>
                <w:p w14:paraId="123AD36B" w14:textId="77777777" w:rsidR="0091608D" w:rsidRDefault="0091608D">
                  <w:pPr>
                    <w:bidi/>
                    <w:spacing w:before="100" w:beforeAutospacing="1" w:after="100" w:afterAutospacing="1"/>
                    <w:rPr>
                      <w:rtl/>
                    </w:rPr>
                  </w:pPr>
                </w:p>
              </w:tc>
              <w:tc>
                <w:tcPr>
                  <w:tcW w:w="0" w:type="auto"/>
                  <w:vAlign w:val="center"/>
                  <w:hideMark/>
                </w:tcPr>
                <w:p w14:paraId="75CD5DCD" w14:textId="77777777" w:rsidR="0091608D" w:rsidRDefault="0091608D">
                  <w:pPr>
                    <w:bidi/>
                    <w:spacing w:before="100" w:beforeAutospacing="1" w:after="100" w:afterAutospacing="1"/>
                    <w:rPr>
                      <w:rtl/>
                    </w:rPr>
                  </w:pPr>
                  <w:r>
                    <w:rPr>
                      <w:rFonts w:hint="cs"/>
                      <w:rtl/>
                    </w:rPr>
                    <w:t> </w:t>
                  </w:r>
                </w:p>
              </w:tc>
            </w:tr>
            <w:tr w:rsidR="0091608D" w14:paraId="736AB310" w14:textId="77777777" w:rsidTr="00507B51">
              <w:trPr>
                <w:tblCellSpacing w:w="0" w:type="dxa"/>
              </w:trPr>
              <w:tc>
                <w:tcPr>
                  <w:tcW w:w="88" w:type="dxa"/>
                  <w:vAlign w:val="center"/>
                  <w:hideMark/>
                </w:tcPr>
                <w:p w14:paraId="727CA6D7" w14:textId="77777777" w:rsidR="0091608D" w:rsidRDefault="0091608D">
                  <w:pPr>
                    <w:bidi/>
                    <w:spacing w:before="100" w:beforeAutospacing="1" w:after="100" w:afterAutospacing="1"/>
                    <w:rPr>
                      <w:rtl/>
                    </w:rPr>
                  </w:pPr>
                  <w:r>
                    <w:rPr>
                      <w:rFonts w:hint="cs"/>
                      <w:rtl/>
                    </w:rPr>
                    <w:t> </w:t>
                  </w:r>
                </w:p>
              </w:tc>
              <w:tc>
                <w:tcPr>
                  <w:tcW w:w="4537" w:type="dxa"/>
                  <w:tcMar>
                    <w:top w:w="0" w:type="dxa"/>
                    <w:left w:w="0" w:type="dxa"/>
                    <w:bottom w:w="150" w:type="dxa"/>
                    <w:right w:w="0" w:type="dxa"/>
                  </w:tcMar>
                  <w:vAlign w:val="center"/>
                  <w:hideMark/>
                </w:tcPr>
                <w:p w14:paraId="33198556" w14:textId="77777777" w:rsidR="0091608D" w:rsidRDefault="0091608D" w:rsidP="00507B51">
                  <w:pPr>
                    <w:bidi/>
                    <w:spacing w:before="100" w:beforeAutospacing="1" w:after="100" w:afterAutospacing="1"/>
                    <w:rPr>
                      <w:rtl/>
                    </w:rPr>
                  </w:pPr>
                </w:p>
              </w:tc>
              <w:tc>
                <w:tcPr>
                  <w:tcW w:w="0" w:type="auto"/>
                  <w:vAlign w:val="center"/>
                  <w:hideMark/>
                </w:tcPr>
                <w:p w14:paraId="751CF833" w14:textId="77777777" w:rsidR="0091608D" w:rsidRDefault="0091608D">
                  <w:pPr>
                    <w:bidi/>
                    <w:spacing w:before="100" w:beforeAutospacing="1" w:after="100" w:afterAutospacing="1"/>
                    <w:rPr>
                      <w:rtl/>
                    </w:rPr>
                  </w:pPr>
                  <w:r>
                    <w:rPr>
                      <w:rFonts w:hint="cs"/>
                      <w:rtl/>
                    </w:rPr>
                    <w:t> </w:t>
                  </w:r>
                </w:p>
              </w:tc>
            </w:tr>
            <w:tr w:rsidR="0091608D" w14:paraId="2838DC24" w14:textId="77777777" w:rsidTr="00507B51">
              <w:trPr>
                <w:tblCellSpacing w:w="0" w:type="dxa"/>
              </w:trPr>
              <w:tc>
                <w:tcPr>
                  <w:tcW w:w="88" w:type="dxa"/>
                  <w:vAlign w:val="center"/>
                  <w:hideMark/>
                </w:tcPr>
                <w:p w14:paraId="5F645470" w14:textId="77777777" w:rsidR="0091608D" w:rsidRDefault="0091608D">
                  <w:pPr>
                    <w:bidi/>
                    <w:spacing w:before="100" w:beforeAutospacing="1" w:after="100" w:afterAutospacing="1"/>
                    <w:rPr>
                      <w:rtl/>
                    </w:rPr>
                  </w:pPr>
                  <w:r>
                    <w:rPr>
                      <w:rFonts w:hint="cs"/>
                      <w:rtl/>
                    </w:rPr>
                    <w:t> </w:t>
                  </w:r>
                </w:p>
              </w:tc>
              <w:tc>
                <w:tcPr>
                  <w:tcW w:w="4537" w:type="dxa"/>
                  <w:tcMar>
                    <w:top w:w="0" w:type="dxa"/>
                    <w:left w:w="0" w:type="dxa"/>
                    <w:bottom w:w="105" w:type="dxa"/>
                    <w:right w:w="0" w:type="dxa"/>
                  </w:tcMar>
                  <w:vAlign w:val="center"/>
                  <w:hideMark/>
                </w:tcPr>
                <w:tbl>
                  <w:tblPr>
                    <w:bidiVisual/>
                    <w:tblW w:w="0" w:type="auto"/>
                    <w:tblCellSpacing w:w="0" w:type="dxa"/>
                    <w:tblCellMar>
                      <w:left w:w="0" w:type="dxa"/>
                      <w:right w:w="0" w:type="dxa"/>
                    </w:tblCellMar>
                    <w:tblLook w:val="04A0" w:firstRow="1" w:lastRow="0" w:firstColumn="1" w:lastColumn="0" w:noHBand="0" w:noVBand="1"/>
                  </w:tblPr>
                  <w:tblGrid>
                    <w:gridCol w:w="1305"/>
                    <w:gridCol w:w="105"/>
                    <w:gridCol w:w="330"/>
                    <w:gridCol w:w="330"/>
                    <w:gridCol w:w="330"/>
                  </w:tblGrid>
                  <w:tr w:rsidR="0091608D" w14:paraId="6C5F67C5" w14:textId="77777777" w:rsidTr="00507B51">
                    <w:trPr>
                      <w:tblCellSpacing w:w="0" w:type="dxa"/>
                    </w:trPr>
                    <w:tc>
                      <w:tcPr>
                        <w:tcW w:w="1305" w:type="dxa"/>
                        <w:vAlign w:val="center"/>
                      </w:tcPr>
                      <w:p w14:paraId="27082E9F" w14:textId="77777777" w:rsidR="0091608D" w:rsidRDefault="0091608D">
                        <w:pPr>
                          <w:bidi/>
                          <w:spacing w:before="100" w:beforeAutospacing="1" w:after="100" w:afterAutospacing="1"/>
                          <w:rPr>
                            <w:rtl/>
                          </w:rPr>
                        </w:pPr>
                      </w:p>
                    </w:tc>
                    <w:tc>
                      <w:tcPr>
                        <w:tcW w:w="105" w:type="dxa"/>
                        <w:vAlign w:val="center"/>
                      </w:tcPr>
                      <w:p w14:paraId="7FF14CBE" w14:textId="77777777" w:rsidR="0091608D" w:rsidRDefault="0091608D">
                        <w:pPr>
                          <w:rPr>
                            <w:rtl/>
                          </w:rPr>
                        </w:pPr>
                      </w:p>
                    </w:tc>
                    <w:tc>
                      <w:tcPr>
                        <w:tcW w:w="330" w:type="dxa"/>
                        <w:vAlign w:val="center"/>
                      </w:tcPr>
                      <w:p w14:paraId="671A240F" w14:textId="77777777" w:rsidR="0091608D" w:rsidRDefault="0091608D">
                        <w:pPr>
                          <w:bidi/>
                          <w:spacing w:before="100" w:beforeAutospacing="1" w:after="100" w:afterAutospacing="1"/>
                        </w:pPr>
                      </w:p>
                    </w:tc>
                    <w:tc>
                      <w:tcPr>
                        <w:tcW w:w="330" w:type="dxa"/>
                        <w:vAlign w:val="center"/>
                      </w:tcPr>
                      <w:p w14:paraId="70E64A35" w14:textId="77777777" w:rsidR="0091608D" w:rsidRDefault="0091608D">
                        <w:pPr>
                          <w:bidi/>
                          <w:spacing w:before="100" w:beforeAutospacing="1" w:after="100" w:afterAutospacing="1"/>
                        </w:pPr>
                      </w:p>
                    </w:tc>
                    <w:tc>
                      <w:tcPr>
                        <w:tcW w:w="330" w:type="dxa"/>
                        <w:vAlign w:val="center"/>
                      </w:tcPr>
                      <w:p w14:paraId="4DB9CFA2" w14:textId="77777777" w:rsidR="0091608D" w:rsidRDefault="0091608D">
                        <w:pPr>
                          <w:bidi/>
                          <w:spacing w:before="100" w:beforeAutospacing="1" w:after="100" w:afterAutospacing="1"/>
                          <w:rPr>
                            <w:rtl/>
                          </w:rPr>
                        </w:pPr>
                      </w:p>
                    </w:tc>
                  </w:tr>
                </w:tbl>
                <w:p w14:paraId="231CDC51" w14:textId="77777777" w:rsidR="0091608D" w:rsidRDefault="0091608D">
                  <w:pPr>
                    <w:bidi/>
                    <w:rPr>
                      <w:rFonts w:asciiTheme="minorHAnsi" w:hAnsiTheme="minorHAnsi" w:cstheme="minorBidi"/>
                      <w:sz w:val="22"/>
                      <w:szCs w:val="22"/>
                      <w:rtl/>
                    </w:rPr>
                  </w:pPr>
                </w:p>
              </w:tc>
              <w:tc>
                <w:tcPr>
                  <w:tcW w:w="0" w:type="auto"/>
                  <w:vAlign w:val="center"/>
                  <w:hideMark/>
                </w:tcPr>
                <w:p w14:paraId="253CCAB2" w14:textId="77777777" w:rsidR="0091608D" w:rsidRDefault="0091608D">
                  <w:pPr>
                    <w:bidi/>
                    <w:spacing w:before="100" w:beforeAutospacing="1" w:after="100" w:afterAutospacing="1"/>
                  </w:pPr>
                  <w:r>
                    <w:rPr>
                      <w:rFonts w:hint="cs"/>
                      <w:rtl/>
                    </w:rPr>
                    <w:t> </w:t>
                  </w:r>
                </w:p>
              </w:tc>
            </w:tr>
            <w:tr w:rsidR="0091608D" w14:paraId="58071733" w14:textId="77777777" w:rsidTr="00507B51">
              <w:trPr>
                <w:tblCellSpacing w:w="0" w:type="dxa"/>
              </w:trPr>
              <w:tc>
                <w:tcPr>
                  <w:tcW w:w="0" w:type="auto"/>
                  <w:gridSpan w:val="3"/>
                  <w:vAlign w:val="center"/>
                  <w:hideMark/>
                </w:tcPr>
                <w:p w14:paraId="286223E0" w14:textId="77777777" w:rsidR="0091608D" w:rsidRDefault="0091608D">
                  <w:pPr>
                    <w:bidi/>
                    <w:spacing w:before="100" w:beforeAutospacing="1" w:after="100" w:afterAutospacing="1"/>
                  </w:pPr>
                </w:p>
              </w:tc>
            </w:tr>
          </w:tbl>
          <w:p w14:paraId="2311DCAA" w14:textId="77777777" w:rsidR="0091608D" w:rsidRDefault="0091608D">
            <w:pPr>
              <w:bidi/>
              <w:rPr>
                <w:rFonts w:asciiTheme="minorHAnsi" w:hAnsiTheme="minorHAnsi" w:cstheme="minorBidi"/>
                <w:sz w:val="22"/>
                <w:szCs w:val="22"/>
                <w:rtl/>
              </w:rPr>
            </w:pPr>
          </w:p>
        </w:tc>
      </w:tr>
    </w:tbl>
    <w:p w14:paraId="038ED0DF" w14:textId="77777777" w:rsidR="00824409" w:rsidRDefault="00824409"/>
    <w:sectPr w:rsidR="00824409"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596"/>
    <w:multiLevelType w:val="hybridMultilevel"/>
    <w:tmpl w:val="3D762C7A"/>
    <w:lvl w:ilvl="0" w:tplc="96B04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8D"/>
    <w:rsid w:val="002C7072"/>
    <w:rsid w:val="00507B51"/>
    <w:rsid w:val="00824409"/>
    <w:rsid w:val="0091608D"/>
    <w:rsid w:val="00B37D1E"/>
    <w:rsid w:val="00B84713"/>
    <w:rsid w:val="00D82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7A8C"/>
  <w15:chartTrackingRefBased/>
  <w15:docId w15:val="{7EFEE85C-E39C-48EE-8C2C-9FD7F47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8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1608D"/>
    <w:rPr>
      <w:color w:val="0000FF"/>
      <w:u w:val="single"/>
    </w:rPr>
  </w:style>
  <w:style w:type="paragraph" w:styleId="a3">
    <w:name w:val="List Paragraph"/>
    <w:basedOn w:val="a"/>
    <w:uiPriority w:val="34"/>
    <w:qFormat/>
    <w:rsid w:val="00507B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3402</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אורנה תל אור</cp:lastModifiedBy>
  <cp:revision>2</cp:revision>
  <dcterms:created xsi:type="dcterms:W3CDTF">2024-02-28T07:04:00Z</dcterms:created>
  <dcterms:modified xsi:type="dcterms:W3CDTF">2024-02-28T07:04:00Z</dcterms:modified>
</cp:coreProperties>
</file>